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895D"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w:t>
      </w:r>
      <w:r w:rsidR="00305021">
        <w:rPr>
          <w:rFonts w:ascii="Arial" w:hAnsi="Arial" w:cs="Arial"/>
          <w:sz w:val="16"/>
          <w:szCs w:val="16"/>
        </w:rPr>
        <w:t>75</w:t>
      </w:r>
      <w:r w:rsidRPr="00B220BC">
        <w:rPr>
          <w:rFonts w:ascii="Arial" w:hAnsi="Arial" w:cs="Arial"/>
          <w:sz w:val="16"/>
          <w:szCs w:val="16"/>
        </w:rPr>
        <w:t xml:space="preserve">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7AF666FC"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59D9C635"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1295D86B" w14:textId="77777777" w:rsidR="00BA14FF" w:rsidRPr="00B220BC" w:rsidRDefault="00BA14FF" w:rsidP="00B220BC">
      <w:pPr>
        <w:pStyle w:val="NoSpacing"/>
        <w:jc w:val="center"/>
      </w:pPr>
    </w:p>
    <w:p w14:paraId="199C2956"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16EA7F05"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3D178DD3" w14:textId="555A4633"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B54C20">
        <w:rPr>
          <w:rFonts w:ascii="Arial" w:hAnsi="Arial" w:cs="Arial"/>
          <w:b/>
        </w:rPr>
        <w:t>2</w:t>
      </w:r>
      <w:r w:rsidR="004B3743">
        <w:rPr>
          <w:rFonts w:ascii="Arial" w:hAnsi="Arial" w:cs="Arial"/>
          <w:b/>
        </w:rPr>
        <w:t>5</w:t>
      </w:r>
    </w:p>
    <w:p w14:paraId="4BA8BB88"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232F2F1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642F5C27"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07EF1E3C" w14:textId="77777777" w:rsidR="002A7845" w:rsidRDefault="00305021" w:rsidP="00FC7863">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i/>
          <w:iCs/>
          <w:color w:val="252525"/>
        </w:rPr>
        <w:t>Other Post Employment Benefits (OPEB)</w:t>
      </w:r>
      <w:r w:rsidR="00F61E87" w:rsidRPr="00FC7863">
        <w:rPr>
          <w:rFonts w:ascii="Arial" w:hAnsi="Arial" w:cs="Arial"/>
          <w:color w:val="252525"/>
        </w:rPr>
        <w:t xml:space="preserve">. For purposes of measuring the net </w:t>
      </w:r>
      <w:r>
        <w:rPr>
          <w:rFonts w:ascii="Arial" w:hAnsi="Arial" w:cs="Arial"/>
          <w:color w:val="252525"/>
        </w:rPr>
        <w:t>OPEB</w:t>
      </w:r>
      <w:r w:rsidR="00F61E87" w:rsidRPr="00FC7863">
        <w:rPr>
          <w:rFonts w:ascii="Arial" w:hAnsi="Arial" w:cs="Arial"/>
          <w:color w:val="252525"/>
        </w:rPr>
        <w:t xml:space="preserve"> liability, deferred outflows of resources and deferred inflows of resources related to </w:t>
      </w:r>
      <w:r>
        <w:rPr>
          <w:rFonts w:ascii="Arial" w:hAnsi="Arial" w:cs="Arial"/>
          <w:color w:val="252525"/>
        </w:rPr>
        <w:t>OPEB</w:t>
      </w:r>
      <w:r w:rsidR="00F61E87" w:rsidRPr="00FC7863">
        <w:rPr>
          <w:rFonts w:ascii="Arial" w:hAnsi="Arial" w:cs="Arial"/>
          <w:color w:val="252525"/>
        </w:rPr>
        <w:t xml:space="preserve">, and </w:t>
      </w:r>
      <w:r>
        <w:rPr>
          <w:rFonts w:ascii="Arial" w:hAnsi="Arial" w:cs="Arial"/>
          <w:color w:val="252525"/>
        </w:rPr>
        <w:t>OPEB</w:t>
      </w:r>
      <w:r w:rsidR="00F61E87" w:rsidRPr="00FC7863">
        <w:rPr>
          <w:rFonts w:ascii="Arial" w:hAnsi="Arial" w:cs="Arial"/>
          <w:color w:val="252525"/>
        </w:rPr>
        <w:t xml:space="preserve">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00F61E87" w:rsidRPr="00FC7863">
        <w:rPr>
          <w:rFonts w:ascii="Arial" w:hAnsi="Arial" w:cs="Arial"/>
          <w:color w:val="252525"/>
        </w:rPr>
        <w:t xml:space="preserve">and additions to/deductions from </w:t>
      </w:r>
      <w:r w:rsidR="00526CA9">
        <w:rPr>
          <w:rFonts w:ascii="Arial" w:hAnsi="Arial" w:cs="Arial"/>
          <w:color w:val="252525"/>
        </w:rPr>
        <w:t>NDPERS’</w:t>
      </w:r>
      <w:r w:rsidR="00F61E87"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00F61E87" w:rsidRPr="00FC7863">
        <w:rPr>
          <w:rFonts w:ascii="Arial" w:hAnsi="Arial" w:cs="Arial"/>
          <w:color w:val="252525"/>
        </w:rPr>
        <w:t>. For this purpose, benefit payments are recognized when due and payable in accordance with the benefit terms. Investments are reported at fair value.</w:t>
      </w:r>
    </w:p>
    <w:p w14:paraId="7B67A402"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520BD41E"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 xml:space="preserve">General Information about the </w:t>
      </w:r>
      <w:r w:rsidR="00305021">
        <w:rPr>
          <w:rFonts w:ascii="Arial" w:hAnsi="Arial" w:cs="Arial"/>
          <w:b/>
          <w:bCs/>
          <w:color w:val="252525"/>
          <w:sz w:val="24"/>
          <w:szCs w:val="24"/>
        </w:rPr>
        <w:t>OPEB</w:t>
      </w:r>
      <w:r w:rsidRPr="00F55B1E">
        <w:rPr>
          <w:rFonts w:ascii="Arial" w:hAnsi="Arial" w:cs="Arial"/>
          <w:b/>
          <w:bCs/>
          <w:color w:val="252525"/>
          <w:sz w:val="24"/>
          <w:szCs w:val="24"/>
        </w:rPr>
        <w:t xml:space="preserve"> Plan</w:t>
      </w:r>
      <w:r w:rsidR="00F61E87" w:rsidRPr="00BA5BF4">
        <w:rPr>
          <w:rFonts w:ascii="Arial" w:hAnsi="Arial" w:cs="Arial"/>
          <w:b/>
          <w:bCs/>
          <w:i/>
          <w:color w:val="252525"/>
          <w:sz w:val="24"/>
          <w:szCs w:val="24"/>
        </w:rPr>
        <w:t xml:space="preserve"> </w:t>
      </w:r>
    </w:p>
    <w:p w14:paraId="2AD55240"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54C12270" w14:textId="77777777"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05021">
        <w:rPr>
          <w:rFonts w:ascii="Arial" w:hAnsi="Arial" w:cs="Arial"/>
          <w:i/>
          <w:sz w:val="22"/>
          <w:szCs w:val="22"/>
        </w:rPr>
        <w:t xml:space="preserve"> System</w:t>
      </w:r>
    </w:p>
    <w:p w14:paraId="1052FD94" w14:textId="77777777" w:rsidR="00A27937" w:rsidRPr="00FC7863" w:rsidRDefault="00A27937" w:rsidP="00FC7863">
      <w:pPr>
        <w:pStyle w:val="B1Text"/>
        <w:rPr>
          <w:rFonts w:ascii="Arial" w:hAnsi="Arial" w:cs="Arial"/>
          <w:i/>
          <w:sz w:val="22"/>
          <w:szCs w:val="22"/>
        </w:rPr>
      </w:pPr>
    </w:p>
    <w:p w14:paraId="5AD6D6E7"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w:t>
      </w:r>
      <w:r w:rsidR="005D4D1C">
        <w:rPr>
          <w:rFonts w:ascii="Arial" w:hAnsi="Arial" w:cs="Arial"/>
          <w:b w:val="0"/>
          <w:szCs w:val="22"/>
        </w:rPr>
        <w:t>A</w:t>
      </w:r>
      <w:r w:rsidR="00731026">
        <w:rPr>
          <w:rFonts w:ascii="Arial" w:hAnsi="Arial" w:cs="Arial"/>
          <w:b w:val="0"/>
          <w:szCs w:val="22"/>
        </w:rPr>
        <w:t xml:space="preserve">C Chapter </w:t>
      </w:r>
      <w:r w:rsidR="005D4D1C">
        <w:rPr>
          <w:rFonts w:ascii="Arial" w:hAnsi="Arial" w:cs="Arial"/>
          <w:b w:val="0"/>
          <w:szCs w:val="22"/>
        </w:rPr>
        <w:t>71-06</w:t>
      </w:r>
      <w:r w:rsidRPr="00FC7863">
        <w:rPr>
          <w:rFonts w:ascii="Arial" w:hAnsi="Arial" w:cs="Arial"/>
          <w:b w:val="0"/>
          <w:szCs w:val="22"/>
        </w:rPr>
        <w:t xml:space="preserve"> for more complete information.</w:t>
      </w:r>
    </w:p>
    <w:p w14:paraId="7EFF4856" w14:textId="77777777" w:rsidR="00A4308A" w:rsidRPr="00FC7863" w:rsidRDefault="00A4308A" w:rsidP="00FC7863">
      <w:pPr>
        <w:pStyle w:val="B3NotesSubHeading"/>
        <w:jc w:val="both"/>
        <w:rPr>
          <w:rFonts w:ascii="Arial" w:hAnsi="Arial" w:cs="Arial"/>
          <w:b w:val="0"/>
          <w:szCs w:val="22"/>
        </w:rPr>
      </w:pPr>
    </w:p>
    <w:p w14:paraId="22870514" w14:textId="77777777" w:rsidR="005D4D1C" w:rsidRDefault="00931B3B" w:rsidP="005D4D1C">
      <w:pPr>
        <w:autoSpaceDE w:val="0"/>
        <w:autoSpaceDN w:val="0"/>
        <w:adjustRightInd w:val="0"/>
        <w:spacing w:after="0" w:line="240" w:lineRule="auto"/>
        <w:rPr>
          <w:rFonts w:ascii="ArialMT" w:hAnsi="ArialMT" w:cs="ArialMT"/>
        </w:rPr>
      </w:pPr>
      <w:r>
        <w:rPr>
          <w:rFonts w:ascii="Arial" w:hAnsi="Arial" w:cs="Arial"/>
        </w:rPr>
        <w:t>NDPERS</w:t>
      </w:r>
      <w:r w:rsidR="00A4308A" w:rsidRPr="00FC7863">
        <w:rPr>
          <w:rFonts w:ascii="Arial" w:hAnsi="Arial" w:cs="Arial"/>
        </w:rPr>
        <w:t xml:space="preserve"> </w:t>
      </w:r>
      <w:r w:rsidR="005D4D1C" w:rsidRPr="005D4D1C">
        <w:rPr>
          <w:rFonts w:ascii="Arial" w:hAnsi="Arial" w:cs="Arial"/>
        </w:rPr>
        <w:t xml:space="preserve">OPEB plan </w:t>
      </w:r>
      <w:r w:rsidR="00A4308A" w:rsidRPr="005D4D1C">
        <w:rPr>
          <w:rFonts w:ascii="Arial" w:hAnsi="Arial" w:cs="Arial"/>
        </w:rPr>
        <w:t>is</w:t>
      </w:r>
      <w:r w:rsidR="00A4308A" w:rsidRPr="00FC7863">
        <w:rPr>
          <w:rFonts w:ascii="Arial" w:hAnsi="Arial" w:cs="Arial"/>
        </w:rPr>
        <w:t xml:space="preserve"> a cost-sharing multiple-employer defined benefit </w:t>
      </w:r>
      <w:r w:rsidR="00951F49">
        <w:rPr>
          <w:rFonts w:ascii="Arial" w:hAnsi="Arial" w:cs="Arial"/>
        </w:rPr>
        <w:t>OPEB</w:t>
      </w:r>
      <w:r w:rsidR="00A4308A" w:rsidRPr="00FC7863">
        <w:rPr>
          <w:rFonts w:ascii="Arial" w:hAnsi="Arial" w:cs="Arial"/>
        </w:rPr>
        <w:t xml:space="preserve"> plan </w:t>
      </w:r>
      <w:r>
        <w:rPr>
          <w:rFonts w:ascii="Arial" w:hAnsi="Arial" w:cs="Arial"/>
        </w:rPr>
        <w:t xml:space="preserve">that covers </w:t>
      </w:r>
      <w:r w:rsidR="005D4D1C">
        <w:rPr>
          <w:rFonts w:ascii="ArialMT" w:hAnsi="ArialMT" w:cs="ArialMT"/>
        </w:rPr>
        <w:t>members receiving retirement benefits from the PERS, the HPRS, and Judges</w:t>
      </w:r>
    </w:p>
    <w:p w14:paraId="30DA913B" w14:textId="77777777" w:rsidR="00A4308A" w:rsidRDefault="005D4D1C" w:rsidP="005D4D1C">
      <w:pPr>
        <w:autoSpaceDE w:val="0"/>
        <w:autoSpaceDN w:val="0"/>
        <w:adjustRightInd w:val="0"/>
        <w:spacing w:after="0" w:line="240" w:lineRule="auto"/>
        <w:rPr>
          <w:rFonts w:ascii="ArialMT" w:hAnsi="ArialMT" w:cs="ArialMT"/>
        </w:rPr>
      </w:pPr>
      <w:r>
        <w:rPr>
          <w:rFonts w:ascii="ArialMT" w:hAnsi="ArialMT" w:cs="ArialMT"/>
        </w:rPr>
        <w:t xml:space="preserve">retired under Chapter 27-17 of the North Dakota Century Code a credit toward their monthly health insurance premium under the state health plan based upon the member's years of credited service. Effective July 1, 2015, the credit is also available to apply towards monthly premiums under the state dental, vision and long-term care plan and any other health insurance plan. </w:t>
      </w:r>
      <w:r w:rsidR="00EE45ED">
        <w:rPr>
          <w:rFonts w:ascii="ArialMT" w:hAnsi="ArialMT" w:cs="ArialMT"/>
        </w:rPr>
        <w:t xml:space="preserve">. Effective August 1, 2019 the benefit may be used for any eligible health, prescription drug plan, dental, vision, or long term care plan premium expense.  </w:t>
      </w:r>
      <w:r>
        <w:rPr>
          <w:rFonts w:ascii="ArialMT" w:hAnsi="ArialMT" w:cs="ArialMT"/>
        </w:rPr>
        <w:t>The Retiree Health Insurance Credit Fund is advance-funded on an actuarially determined basis.</w:t>
      </w:r>
    </w:p>
    <w:p w14:paraId="4C024A6B" w14:textId="77777777" w:rsidR="005D4D1C" w:rsidRPr="00FC7863" w:rsidRDefault="005D4D1C" w:rsidP="005D4D1C">
      <w:pPr>
        <w:pStyle w:val="B3NotesSubHeading"/>
        <w:jc w:val="both"/>
        <w:rPr>
          <w:rFonts w:ascii="Arial" w:hAnsi="Arial" w:cs="Arial"/>
          <w:b w:val="0"/>
          <w:szCs w:val="22"/>
        </w:rPr>
      </w:pPr>
    </w:p>
    <w:p w14:paraId="0EEDB760" w14:textId="77777777" w:rsidR="00EE45ED" w:rsidRDefault="00A4308A" w:rsidP="00EE45ED">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 xml:space="preserve">ty for administration of the NDPERS defined benefit </w:t>
      </w:r>
      <w:r w:rsidR="00951F49">
        <w:rPr>
          <w:rFonts w:ascii="Arial" w:hAnsi="Arial" w:cs="Arial"/>
          <w:b w:val="0"/>
          <w:szCs w:val="22"/>
        </w:rPr>
        <w:t>OPEB</w:t>
      </w:r>
      <w:r w:rsidR="00C20EF0">
        <w:rPr>
          <w:rFonts w:ascii="Arial" w:hAnsi="Arial" w:cs="Arial"/>
          <w:b w:val="0"/>
          <w:szCs w:val="22"/>
        </w:rPr>
        <w:t xml:space="preserve">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 xml:space="preserve">comprised of </w:t>
      </w:r>
      <w:r w:rsidR="006548CF">
        <w:rPr>
          <w:rFonts w:ascii="Arial" w:hAnsi="Arial" w:cs="Arial"/>
          <w:b w:val="0"/>
          <w:szCs w:val="22"/>
        </w:rPr>
        <w:t>nine</w:t>
      </w:r>
      <w:r w:rsidR="00C20EF0">
        <w:rPr>
          <w:rFonts w:ascii="Arial" w:hAnsi="Arial" w:cs="Arial"/>
          <w:b w:val="0"/>
          <w:szCs w:val="22"/>
        </w:rPr>
        <w:t xml:space="preserve"> members.  The Board consists of a Chairman, who is appointed by the Governor; one member appointed by the Attorney General; one member appointed by the State Health Officer; three members elected by the active </w:t>
      </w:r>
      <w:r w:rsidR="006548CF">
        <w:rPr>
          <w:rFonts w:ascii="Arial" w:hAnsi="Arial" w:cs="Arial"/>
          <w:b w:val="0"/>
          <w:szCs w:val="22"/>
        </w:rPr>
        <w:t>membership of the NDPERS system,</w:t>
      </w:r>
      <w:r w:rsidR="00F55B1E">
        <w:rPr>
          <w:rFonts w:ascii="Arial" w:hAnsi="Arial" w:cs="Arial"/>
          <w:b w:val="0"/>
          <w:szCs w:val="22"/>
        </w:rPr>
        <w:t xml:space="preserve"> </w:t>
      </w:r>
      <w:r w:rsidR="006548CF">
        <w:rPr>
          <w:rFonts w:ascii="Arial" w:hAnsi="Arial" w:cs="Arial"/>
          <w:b w:val="0"/>
          <w:szCs w:val="22"/>
        </w:rPr>
        <w:t>o</w:t>
      </w:r>
      <w:r w:rsidR="00C20EF0">
        <w:rPr>
          <w:rFonts w:ascii="Arial" w:hAnsi="Arial" w:cs="Arial"/>
          <w:b w:val="0"/>
          <w:szCs w:val="22"/>
        </w:rPr>
        <w:t xml:space="preserve">ne member elected </w:t>
      </w:r>
      <w:r w:rsidR="006548CF">
        <w:rPr>
          <w:rFonts w:ascii="Arial" w:hAnsi="Arial" w:cs="Arial"/>
          <w:b w:val="0"/>
          <w:szCs w:val="22"/>
        </w:rPr>
        <w:t xml:space="preserve">by the retired public employees and </w:t>
      </w:r>
      <w:r w:rsidR="00AB73D3">
        <w:rPr>
          <w:rFonts w:ascii="Arial" w:hAnsi="Arial" w:cs="Arial"/>
          <w:b w:val="0"/>
          <w:szCs w:val="22"/>
        </w:rPr>
        <w:t>two members of the legislative assembly appointed by the chairman of the legislative management.</w:t>
      </w:r>
      <w:r w:rsidR="00C20EF0">
        <w:rPr>
          <w:rFonts w:ascii="Arial" w:hAnsi="Arial" w:cs="Arial"/>
          <w:i/>
          <w:szCs w:val="22"/>
        </w:rPr>
        <w:t xml:space="preserve"> </w:t>
      </w:r>
    </w:p>
    <w:p w14:paraId="50A0A2CF" w14:textId="77777777" w:rsidR="009B0062" w:rsidRDefault="005D4D1C" w:rsidP="00EE45ED">
      <w:pPr>
        <w:pStyle w:val="B3NotesSubHeading"/>
        <w:jc w:val="both"/>
        <w:rPr>
          <w:rFonts w:ascii="Arial" w:hAnsi="Arial" w:cs="Arial"/>
          <w:szCs w:val="22"/>
        </w:rPr>
      </w:pPr>
      <w:r w:rsidRPr="005D4D1C">
        <w:rPr>
          <w:rFonts w:ascii="Arial" w:hAnsi="Arial" w:cs="Arial"/>
          <w:szCs w:val="22"/>
        </w:rPr>
        <w:lastRenderedPageBreak/>
        <w:t>OPEB Benefits</w:t>
      </w:r>
    </w:p>
    <w:p w14:paraId="3D92BD3C" w14:textId="1B8E760F"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 xml:space="preserve">The employer contribution for the PERS, the HPRS and the Defined Contribution Plan is set by statute at 1.14% of covered compensation. Employees participating in the retirement plan as part-time/temporary members are required to contribute 1.14% of their covered compensation to the Retiree Health Insurance Credit Fund. Employees purchasing previous service credit are also required to make an employee contribution to the Fund. The benefit amount applied each year is shown as </w:t>
      </w:r>
      <w:r>
        <w:rPr>
          <w:rFonts w:ascii="Arial" w:hAnsi="Arial" w:cs="Arial"/>
          <w:i/>
          <w:iCs/>
        </w:rPr>
        <w:t>"prefunded credit applied"</w:t>
      </w:r>
      <w:r>
        <w:rPr>
          <w:rFonts w:ascii="ArialMT" w:hAnsi="ArialMT" w:cs="ArialMT"/>
        </w:rPr>
        <w:t xml:space="preserve"> on the Statement of Changes in Plan Net Position for the </w:t>
      </w:r>
      <w:r w:rsidR="00951F49">
        <w:rPr>
          <w:rFonts w:ascii="ArialMT" w:hAnsi="ArialMT" w:cs="ArialMT"/>
        </w:rPr>
        <w:t>OPEB</w:t>
      </w:r>
      <w:r>
        <w:rPr>
          <w:rFonts w:ascii="ArialMT" w:hAnsi="ArialMT" w:cs="ArialMT"/>
        </w:rPr>
        <w:t xml:space="preserve"> trust funds.</w:t>
      </w:r>
      <w:r w:rsidR="00B54C20">
        <w:rPr>
          <w:rFonts w:ascii="ArialMT" w:hAnsi="ArialMT" w:cs="ArialMT"/>
        </w:rPr>
        <w:t xml:space="preserve">  </w:t>
      </w:r>
      <w:r w:rsidR="00B54C20" w:rsidRPr="00B54C20">
        <w:rPr>
          <w:rFonts w:ascii="ArialMT" w:hAnsi="ArialMT" w:cs="ArialMT"/>
        </w:rPr>
        <w:t>Beginning January 1, 2020, members first enrolled in the NDPERS Main System and the Defined Contribution Plan on or after that date will not be eligible to participate in RHIC. Therefore, RHIC will become for the most part a closed plan. There were no other benefit changes during the year.</w:t>
      </w:r>
    </w:p>
    <w:p w14:paraId="41727F10" w14:textId="77777777" w:rsidR="005D4D1C" w:rsidRDefault="005D4D1C" w:rsidP="005D4D1C">
      <w:pPr>
        <w:autoSpaceDE w:val="0"/>
        <w:autoSpaceDN w:val="0"/>
        <w:adjustRightInd w:val="0"/>
        <w:spacing w:after="0" w:line="240" w:lineRule="auto"/>
        <w:rPr>
          <w:rFonts w:ascii="ArialMT" w:hAnsi="ArialMT" w:cs="ArialMT"/>
        </w:rPr>
      </w:pPr>
    </w:p>
    <w:p w14:paraId="6081619A" w14:textId="77777777"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Retiree health insurance credit benefits and death and disability benefits are set by statute. There are no provisions or policies with respect to automatic and ad hoc post-retirement benefit increases. Employees who are receiving monthly retirement benefits from the PERS, the HPRS, the Defined Contribution Plan, the Chapter 27-17 judges or an employee receiving disability benefits, or the spouse of a deceased annuitant receiving a surviving spouse benefit or if the member selected a joint and survivor option are eligible to receive a credit toward their monthly health insurance premium under the state health plan.</w:t>
      </w:r>
    </w:p>
    <w:p w14:paraId="5E8A3426" w14:textId="77777777" w:rsidR="005D4D1C" w:rsidRDefault="005D4D1C" w:rsidP="005D4D1C">
      <w:pPr>
        <w:autoSpaceDE w:val="0"/>
        <w:autoSpaceDN w:val="0"/>
        <w:adjustRightInd w:val="0"/>
        <w:spacing w:after="0" w:line="240" w:lineRule="auto"/>
        <w:rPr>
          <w:rFonts w:ascii="ArialMT" w:hAnsi="ArialMT" w:cs="ArialMT"/>
        </w:rPr>
      </w:pPr>
    </w:p>
    <w:p w14:paraId="76FF8286" w14:textId="77777777" w:rsidR="005D4D1C" w:rsidRPr="005D4D1C" w:rsidRDefault="005D4D1C" w:rsidP="00B54C20">
      <w:pPr>
        <w:autoSpaceDE w:val="0"/>
        <w:autoSpaceDN w:val="0"/>
        <w:adjustRightInd w:val="0"/>
        <w:spacing w:after="0" w:line="240" w:lineRule="auto"/>
        <w:rPr>
          <w:rFonts w:ascii="ArialMT" w:hAnsi="ArialMT" w:cs="ArialMT"/>
        </w:rPr>
      </w:pPr>
      <w:r>
        <w:rPr>
          <w:rFonts w:ascii="ArialMT" w:hAnsi="ArialMT" w:cs="ArialMT"/>
        </w:rPr>
        <w:t xml:space="preserve">Effective July 1, 2015, the credit is also available to apply towards monthly premiums under the state dental, vision and long-term care plan and any other health insurance plan. </w:t>
      </w:r>
      <w:r w:rsidR="00B54C20">
        <w:rPr>
          <w:rFonts w:ascii="ArialMT" w:hAnsi="ArialMT" w:cs="ArialMT"/>
        </w:rPr>
        <w:t>Effective August 1, 2019 the benefit may be used for any eligible health, prescription drug plan, dental, vision, or long term care plan premium expense.  T</w:t>
      </w:r>
      <w:r>
        <w:rPr>
          <w:rFonts w:ascii="ArialMT" w:hAnsi="ArialMT" w:cs="ArialMT"/>
        </w:rPr>
        <w:t>he benefits are equal to $5.00 for each of the employee’s, or deceased employee's years of credited service not to exceed the premium in effect for selected coverage. The retiree health insurance credit is also available for early retirement with reduced benefits.</w:t>
      </w:r>
    </w:p>
    <w:p w14:paraId="433F3E06"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6C3B4305" w14:textId="77777777" w:rsidR="002A7845" w:rsidRDefault="005D4D1C" w:rsidP="00FC7863">
      <w:pPr>
        <w:widowControl w:val="0"/>
        <w:suppressAutoHyphens/>
        <w:autoSpaceDE w:val="0"/>
        <w:autoSpaceDN w:val="0"/>
        <w:adjustRightInd w:val="0"/>
        <w:spacing w:after="0" w:line="240" w:lineRule="auto"/>
        <w:rPr>
          <w:rFonts w:ascii="Arial" w:hAnsi="Arial" w:cs="Arial"/>
          <w:b/>
          <w:bCs/>
          <w:color w:val="252525"/>
        </w:rPr>
      </w:pPr>
      <w:r>
        <w:rPr>
          <w:rFonts w:ascii="Arial" w:hAnsi="Arial" w:cs="Arial"/>
          <w:b/>
          <w:bCs/>
          <w:i/>
          <w:iCs/>
          <w:color w:val="252525"/>
        </w:rPr>
        <w:t>OPEB</w:t>
      </w:r>
      <w:r w:rsidR="00F61E87" w:rsidRPr="00FC7863">
        <w:rPr>
          <w:rFonts w:ascii="Arial" w:hAnsi="Arial" w:cs="Arial"/>
          <w:b/>
          <w:bCs/>
          <w:i/>
          <w:iCs/>
          <w:color w:val="252525"/>
        </w:rPr>
        <w:t xml:space="preserve"> Liabilities, </w:t>
      </w:r>
      <w:r>
        <w:rPr>
          <w:rFonts w:ascii="Arial" w:hAnsi="Arial" w:cs="Arial"/>
          <w:b/>
          <w:bCs/>
          <w:i/>
          <w:iCs/>
          <w:color w:val="252525"/>
        </w:rPr>
        <w:t>OPEB</w:t>
      </w:r>
      <w:r w:rsidR="00F61E87" w:rsidRPr="00FC7863">
        <w:rPr>
          <w:rFonts w:ascii="Arial" w:hAnsi="Arial" w:cs="Arial"/>
          <w:b/>
          <w:bCs/>
          <w:i/>
          <w:iCs/>
          <w:color w:val="252525"/>
        </w:rPr>
        <w:t xml:space="preserve"> Expense, and Deferred Outflows of Resources and Deferred Inflows of Resources Related to </w:t>
      </w:r>
      <w:r>
        <w:rPr>
          <w:rFonts w:ascii="Arial" w:hAnsi="Arial" w:cs="Arial"/>
          <w:b/>
          <w:bCs/>
          <w:i/>
          <w:iCs/>
          <w:color w:val="252525"/>
        </w:rPr>
        <w:t>OPEB</w:t>
      </w:r>
      <w:r w:rsidR="00F61E87" w:rsidRPr="00FC7863">
        <w:rPr>
          <w:rFonts w:ascii="Arial" w:hAnsi="Arial" w:cs="Arial"/>
          <w:b/>
          <w:bCs/>
          <w:color w:val="252525"/>
        </w:rPr>
        <w:t xml:space="preserve"> </w:t>
      </w:r>
    </w:p>
    <w:p w14:paraId="388704A9"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2ECAAC53"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mm/dd/yy</w:t>
      </w:r>
      <w:r w:rsidR="000D57CA" w:rsidRPr="000D57CA">
        <w:rPr>
          <w:rFonts w:ascii="Arial" w:hAnsi="Arial" w:cs="Arial"/>
          <w:color w:val="252525"/>
          <w:highlight w:val="yellow"/>
        </w:rPr>
        <w:t>yy</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 xml:space="preserve">E, Schedule of Net </w:t>
      </w:r>
      <w:r w:rsidR="005D4D1C">
        <w:rPr>
          <w:rFonts w:ascii="Arial" w:hAnsi="Arial" w:cs="Arial"/>
          <w:color w:val="FF0000"/>
        </w:rPr>
        <w:t>OPEB</w:t>
      </w:r>
      <w:r w:rsidR="003A3063">
        <w:rPr>
          <w:rFonts w:ascii="Arial" w:hAnsi="Arial" w:cs="Arial"/>
          <w:color w:val="FF0000"/>
        </w:rPr>
        <w:t xml:space="preserve">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w:t>
      </w:r>
      <w:r w:rsidR="005D4D1C">
        <w:rPr>
          <w:rFonts w:ascii="Arial" w:hAnsi="Arial" w:cs="Arial"/>
          <w:color w:val="252525"/>
        </w:rPr>
        <w:t>OPEB</w:t>
      </w:r>
      <w:r w:rsidRPr="00FC7863">
        <w:rPr>
          <w:rFonts w:ascii="Arial" w:hAnsi="Arial" w:cs="Arial"/>
          <w:color w:val="252525"/>
        </w:rPr>
        <w:t xml:space="preserve"> liability. The net </w:t>
      </w:r>
      <w:r w:rsidR="005D4D1C">
        <w:rPr>
          <w:rFonts w:ascii="Arial" w:hAnsi="Arial" w:cs="Arial"/>
          <w:color w:val="252525"/>
        </w:rPr>
        <w:t>OPEB</w:t>
      </w:r>
      <w:r w:rsidRPr="00FC7863">
        <w:rPr>
          <w:rFonts w:ascii="Arial" w:hAnsi="Arial" w:cs="Arial"/>
          <w:color w:val="252525"/>
        </w:rPr>
        <w:t xml:space="preserve"> liability was measured as of </w:t>
      </w:r>
      <w:r w:rsidR="000D57CA">
        <w:rPr>
          <w:rFonts w:ascii="Arial" w:hAnsi="Arial" w:cs="Arial"/>
          <w:color w:val="252525"/>
          <w:highlight w:val="yellow"/>
        </w:rPr>
        <w:t>mm/dd/yyyy</w:t>
      </w:r>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w:t>
      </w:r>
      <w:r w:rsidR="005D4D1C">
        <w:rPr>
          <w:rFonts w:ascii="Arial" w:hAnsi="Arial" w:cs="Arial"/>
          <w:color w:val="252525"/>
        </w:rPr>
        <w:t>OPEB</w:t>
      </w:r>
      <w:r w:rsidRPr="00FC7863">
        <w:rPr>
          <w:rFonts w:ascii="Arial" w:hAnsi="Arial" w:cs="Arial"/>
          <w:color w:val="252525"/>
        </w:rPr>
        <w:t xml:space="preserve"> liability used to calculate the net </w:t>
      </w:r>
      <w:r w:rsidR="005D4D1C">
        <w:rPr>
          <w:rFonts w:ascii="Arial" w:hAnsi="Arial" w:cs="Arial"/>
          <w:color w:val="252525"/>
        </w:rPr>
        <w:t>OPEB</w:t>
      </w:r>
      <w:r w:rsidRPr="00FC7863">
        <w:rPr>
          <w:rFonts w:ascii="Arial" w:hAnsi="Arial" w:cs="Arial"/>
          <w:color w:val="252525"/>
        </w:rPr>
        <w:t xml:space="preserve">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w:t>
      </w:r>
      <w:r w:rsidR="005D4D1C">
        <w:rPr>
          <w:rFonts w:ascii="Arial" w:hAnsi="Arial" w:cs="Arial"/>
          <w:color w:val="252525"/>
        </w:rPr>
        <w:t>OPEB</w:t>
      </w:r>
      <w:r w:rsidRPr="00FC7863">
        <w:rPr>
          <w:rFonts w:ascii="Arial" w:hAnsi="Arial" w:cs="Arial"/>
          <w:color w:val="252525"/>
        </w:rPr>
        <w:t xml:space="preserve">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5D4D1C">
        <w:rPr>
          <w:rFonts w:ascii="Arial" w:hAnsi="Arial" w:cs="Arial"/>
          <w:color w:val="252525"/>
        </w:rPr>
        <w:t>OPEB</w:t>
      </w:r>
      <w:r w:rsidRPr="00FC7863">
        <w:rPr>
          <w:rFonts w:ascii="Arial" w:hAnsi="Arial" w:cs="Arial"/>
          <w:color w:val="252525"/>
        </w:rPr>
        <w:t xml:space="preserve">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5D4D1C">
        <w:rPr>
          <w:rFonts w:ascii="Arial" w:hAnsi="Arial" w:cs="Arial"/>
          <w:color w:val="252525"/>
        </w:rPr>
        <w:t xml:space="preserve">OPEB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mm/dd/yyyy</w:t>
      </w:r>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 xml:space="preserve">from Section E, Schedule of Net </w:t>
      </w:r>
      <w:r w:rsidR="005D4D1C">
        <w:rPr>
          <w:rFonts w:ascii="Arial" w:hAnsi="Arial" w:cs="Arial"/>
          <w:color w:val="FF0000"/>
        </w:rPr>
        <w:t>OPEB</w:t>
      </w:r>
      <w:r w:rsidR="003A3063">
        <w:rPr>
          <w:rFonts w:ascii="Arial" w:hAnsi="Arial" w:cs="Arial"/>
          <w:color w:val="FF0000"/>
        </w:rPr>
        <w:t xml:space="preserve">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mm/dd/yyyy</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3041B954" w14:textId="77777777" w:rsidR="00FC7863" w:rsidRDefault="00F61E87"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w:t>
      </w:r>
      <w:r w:rsidR="005D4D1C">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D7576E" w:rsidRPr="00FC7863">
        <w:rPr>
          <w:rFonts w:ascii="Arial" w:hAnsi="Arial" w:cs="Arial"/>
          <w:i/>
          <w:color w:val="A6A6A6" w:themeColor="background1" w:themeShade="A6"/>
        </w:rPr>
        <w:t xml:space="preserve"> </w:t>
      </w:r>
    </w:p>
    <w:p w14:paraId="646FA8CD" w14:textId="77777777" w:rsidR="00B54C20" w:rsidRPr="00FC7863" w:rsidRDefault="00B54C20"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2AAB9FC8" w14:textId="77777777"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w:t>
      </w:r>
      <w:r w:rsidR="00951F49">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BA5BF4">
        <w:rPr>
          <w:rFonts w:ascii="Arial" w:hAnsi="Arial" w:cs="Arial"/>
          <w:i/>
          <w:color w:val="A6A6A6" w:themeColor="background1" w:themeShade="A6"/>
        </w:rPr>
        <w:t xml:space="preserve"> </w:t>
      </w:r>
    </w:p>
    <w:p w14:paraId="151D974C" w14:textId="77777777"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mm/dd/yyyy</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w:t>
      </w:r>
      <w:r w:rsidR="001A7F3B">
        <w:rPr>
          <w:rFonts w:ascii="Arial" w:hAnsi="Arial" w:cs="Arial"/>
          <w:color w:val="252525"/>
        </w:rPr>
        <w:t>OPEB</w:t>
      </w:r>
      <w:r w:rsidRPr="00FC7863">
        <w:rPr>
          <w:rFonts w:ascii="Arial" w:hAnsi="Arial" w:cs="Arial"/>
          <w:color w:val="252525"/>
        </w:rPr>
        <w:t xml:space="preserve">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 xml:space="preserve">Schedule of </w:t>
      </w:r>
      <w:r w:rsidR="001A7F3B">
        <w:rPr>
          <w:rFonts w:ascii="Arial" w:hAnsi="Arial" w:cs="Arial"/>
          <w:color w:val="FF0000"/>
        </w:rPr>
        <w:t>Contributions</w:t>
      </w:r>
      <w:r w:rsidR="00F0572D">
        <w:rPr>
          <w:rFonts w:ascii="Arial" w:hAnsi="Arial" w:cs="Arial"/>
          <w:color w:val="FF0000"/>
        </w:rPr>
        <w:t xml:space="preserve">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lastRenderedPageBreak/>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w:t>
      </w:r>
      <w:r w:rsidR="001A7F3B">
        <w:rPr>
          <w:rFonts w:ascii="Arial" w:hAnsi="Arial" w:cs="Arial"/>
          <w:color w:val="252525"/>
        </w:rPr>
        <w:t>OPEB</w:t>
      </w:r>
      <w:r w:rsidRPr="00FC7863">
        <w:rPr>
          <w:rFonts w:ascii="Arial" w:hAnsi="Arial" w:cs="Arial"/>
          <w:color w:val="252525"/>
        </w:rPr>
        <w:t xml:space="preserve">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14:paraId="2B41F7B5"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1CC89DF8"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2E1AD55B" w14:textId="77777777">
        <w:tc>
          <w:tcPr>
            <w:tcW w:w="3120" w:type="dxa"/>
            <w:tcBorders>
              <w:top w:val="nil"/>
              <w:left w:val="nil"/>
              <w:bottom w:val="nil"/>
              <w:right w:val="nil"/>
            </w:tcBorders>
            <w:tcMar>
              <w:top w:w="20" w:type="dxa"/>
              <w:left w:w="20" w:type="dxa"/>
              <w:bottom w:w="20" w:type="dxa"/>
              <w:right w:w="20" w:type="dxa"/>
            </w:tcMar>
            <w:vAlign w:val="bottom"/>
          </w:tcPr>
          <w:p w14:paraId="5760E3F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3B15A53D"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4870E55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4EA57C71"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5677D7FA"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520EA553" w14:textId="77777777">
        <w:tc>
          <w:tcPr>
            <w:tcW w:w="3120" w:type="dxa"/>
            <w:tcBorders>
              <w:top w:val="nil"/>
              <w:left w:val="nil"/>
              <w:bottom w:val="nil"/>
              <w:right w:val="nil"/>
            </w:tcBorders>
            <w:tcMar>
              <w:top w:w="20" w:type="dxa"/>
              <w:left w:w="20" w:type="dxa"/>
              <w:bottom w:w="20" w:type="dxa"/>
              <w:right w:w="20" w:type="dxa"/>
            </w:tcMar>
            <w:vAlign w:val="bottom"/>
          </w:tcPr>
          <w:p w14:paraId="3DA3E71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53E58113"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14:paraId="26958B53"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2CF4246D" w14:textId="77777777">
        <w:tc>
          <w:tcPr>
            <w:tcW w:w="3120" w:type="dxa"/>
            <w:tcBorders>
              <w:top w:val="nil"/>
              <w:left w:val="nil"/>
              <w:bottom w:val="nil"/>
              <w:right w:val="nil"/>
            </w:tcBorders>
            <w:tcMar>
              <w:top w:w="20" w:type="dxa"/>
              <w:left w:w="20" w:type="dxa"/>
              <w:bottom w:w="20" w:type="dxa"/>
              <w:right w:w="20" w:type="dxa"/>
            </w:tcMar>
            <w:vAlign w:val="bottom"/>
          </w:tcPr>
          <w:p w14:paraId="16E94782"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0E68FE5A"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6CF2780B"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5BCC849A" w14:textId="77777777">
        <w:tc>
          <w:tcPr>
            <w:tcW w:w="3120" w:type="dxa"/>
            <w:tcBorders>
              <w:top w:val="nil"/>
              <w:left w:val="nil"/>
              <w:bottom w:val="nil"/>
              <w:right w:val="nil"/>
            </w:tcBorders>
            <w:tcMar>
              <w:top w:w="20" w:type="dxa"/>
              <w:left w:w="20" w:type="dxa"/>
              <w:bottom w:w="20" w:type="dxa"/>
              <w:right w:w="20" w:type="dxa"/>
            </w:tcMar>
            <w:vAlign w:val="bottom"/>
          </w:tcPr>
          <w:p w14:paraId="2D2628C4"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Net difference between projected and actual earnings on </w:t>
            </w:r>
            <w:r w:rsidR="001A7F3B">
              <w:rPr>
                <w:rFonts w:ascii="Arial" w:hAnsi="Arial" w:cs="Arial"/>
                <w:color w:val="252525"/>
              </w:rPr>
              <w:t>OPEB</w:t>
            </w:r>
            <w:r w:rsidRPr="00FC7863">
              <w:rPr>
                <w:rFonts w:ascii="Arial" w:hAnsi="Arial" w:cs="Arial"/>
                <w:color w:val="252525"/>
              </w:rPr>
              <w:t xml:space="preserve"> plan investments</w:t>
            </w:r>
          </w:p>
        </w:tc>
        <w:tc>
          <w:tcPr>
            <w:tcW w:w="3120" w:type="dxa"/>
            <w:tcBorders>
              <w:top w:val="nil"/>
              <w:left w:val="nil"/>
              <w:bottom w:val="nil"/>
              <w:right w:val="nil"/>
            </w:tcBorders>
            <w:tcMar>
              <w:top w:w="20" w:type="dxa"/>
              <w:left w:w="20" w:type="dxa"/>
              <w:bottom w:w="20" w:type="dxa"/>
              <w:right w:w="20" w:type="dxa"/>
            </w:tcMar>
            <w:vAlign w:val="bottom"/>
          </w:tcPr>
          <w:p w14:paraId="2BF69F67"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2F4DEEBD"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2316CCF8" w14:textId="77777777">
        <w:tc>
          <w:tcPr>
            <w:tcW w:w="3120" w:type="dxa"/>
            <w:tcBorders>
              <w:top w:val="nil"/>
              <w:left w:val="nil"/>
              <w:bottom w:val="nil"/>
              <w:right w:val="nil"/>
            </w:tcBorders>
            <w:tcMar>
              <w:top w:w="20" w:type="dxa"/>
              <w:left w:w="20" w:type="dxa"/>
              <w:bottom w:w="20" w:type="dxa"/>
              <w:right w:w="20" w:type="dxa"/>
            </w:tcMar>
            <w:vAlign w:val="bottom"/>
          </w:tcPr>
          <w:p w14:paraId="5007EDC6"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5B3998FF"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4BAF673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14:paraId="588ECDAA" w14:textId="77777777">
        <w:tc>
          <w:tcPr>
            <w:tcW w:w="3120" w:type="dxa"/>
            <w:tcBorders>
              <w:top w:val="nil"/>
              <w:left w:val="nil"/>
              <w:bottom w:val="nil"/>
              <w:right w:val="nil"/>
            </w:tcBorders>
            <w:tcMar>
              <w:top w:w="20" w:type="dxa"/>
              <w:left w:w="20" w:type="dxa"/>
              <w:bottom w:w="20" w:type="dxa"/>
              <w:right w:w="20" w:type="dxa"/>
            </w:tcMar>
            <w:vAlign w:val="bottom"/>
          </w:tcPr>
          <w:p w14:paraId="3CC21DD6"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7DFF691D"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4A707D96"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4D245A67" w14:textId="77777777">
        <w:tc>
          <w:tcPr>
            <w:tcW w:w="3120" w:type="dxa"/>
            <w:tcBorders>
              <w:top w:val="nil"/>
              <w:left w:val="nil"/>
              <w:bottom w:val="nil"/>
              <w:right w:val="nil"/>
            </w:tcBorders>
            <w:tcMar>
              <w:top w:w="20" w:type="dxa"/>
              <w:left w:w="20" w:type="dxa"/>
              <w:bottom w:w="20" w:type="dxa"/>
              <w:right w:w="20" w:type="dxa"/>
            </w:tcMar>
            <w:vAlign w:val="bottom"/>
          </w:tcPr>
          <w:p w14:paraId="7974DB5B"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131021C8"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6CECA289"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14:paraId="3B37221F" w14:textId="77777777">
        <w:tc>
          <w:tcPr>
            <w:tcW w:w="3120" w:type="dxa"/>
            <w:tcBorders>
              <w:top w:val="nil"/>
              <w:left w:val="nil"/>
              <w:bottom w:val="nil"/>
              <w:right w:val="nil"/>
            </w:tcBorders>
            <w:tcMar>
              <w:top w:w="20" w:type="dxa"/>
              <w:left w:w="20" w:type="dxa"/>
              <w:bottom w:w="20" w:type="dxa"/>
              <w:right w:w="20" w:type="dxa"/>
            </w:tcMar>
            <w:vAlign w:val="bottom"/>
          </w:tcPr>
          <w:p w14:paraId="06AD0C58"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37BF472A"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4019DCC4"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54A02A49" w14:textId="77777777">
        <w:tc>
          <w:tcPr>
            <w:tcW w:w="3120" w:type="dxa"/>
            <w:tcBorders>
              <w:top w:val="nil"/>
              <w:left w:val="nil"/>
              <w:bottom w:val="nil"/>
              <w:right w:val="nil"/>
            </w:tcBorders>
            <w:tcMar>
              <w:top w:w="20" w:type="dxa"/>
              <w:left w:w="20" w:type="dxa"/>
              <w:bottom w:w="20" w:type="dxa"/>
              <w:right w:w="20" w:type="dxa"/>
            </w:tcMar>
            <w:vAlign w:val="bottom"/>
          </w:tcPr>
          <w:p w14:paraId="4D24CDB6"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17F49FC7"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1EA254E9"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1F8322D7"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w:t>
      </w:r>
      <w:r w:rsidR="001A7F3B">
        <w:rPr>
          <w:rFonts w:ascii="Arial" w:hAnsi="Arial" w:cs="Arial"/>
          <w:color w:val="252525"/>
        </w:rPr>
        <w:t>OPEB</w:t>
      </w:r>
      <w:r w:rsidRPr="00FC7863">
        <w:rPr>
          <w:rFonts w:ascii="Arial" w:hAnsi="Arial" w:cs="Arial"/>
          <w:color w:val="252525"/>
        </w:rPr>
        <w:t xml:space="preserve">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w:t>
      </w:r>
      <w:r w:rsidR="001A7F3B">
        <w:rPr>
          <w:rFonts w:ascii="Arial" w:hAnsi="Arial" w:cs="Arial"/>
          <w:color w:val="252525"/>
        </w:rPr>
        <w:t>OPEB</w:t>
      </w:r>
      <w:r w:rsidRPr="00FC7863">
        <w:rPr>
          <w:rFonts w:ascii="Arial" w:hAnsi="Arial" w:cs="Arial"/>
          <w:color w:val="252525"/>
        </w:rPr>
        <w:t xml:space="preserve"> liability in the year ended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04DC504D"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1301444F" w14:textId="77777777"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w:t>
      </w:r>
      <w:r w:rsidR="00951F49">
        <w:rPr>
          <w:rFonts w:ascii="Arial" w:hAnsi="Arial" w:cs="Arial"/>
          <w:color w:val="252525"/>
        </w:rPr>
        <w:t>OPEB</w:t>
      </w:r>
      <w:r w:rsidRPr="00FC7863">
        <w:rPr>
          <w:rFonts w:ascii="Arial" w:hAnsi="Arial" w:cs="Arial"/>
          <w:color w:val="252525"/>
        </w:rPr>
        <w:t xml:space="preserve">s will be recognized in </w:t>
      </w:r>
      <w:r w:rsidR="001A7F3B">
        <w:rPr>
          <w:rFonts w:ascii="Arial" w:hAnsi="Arial" w:cs="Arial"/>
          <w:color w:val="252525"/>
        </w:rPr>
        <w:t>OPEB</w:t>
      </w:r>
      <w:r w:rsidRPr="00FC7863">
        <w:rPr>
          <w:rFonts w:ascii="Arial" w:hAnsi="Arial" w:cs="Arial"/>
          <w:color w:val="252525"/>
        </w:rPr>
        <w:t xml:space="preserve">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Schedule of Net Deferred Outflows and Inflows by Year By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31C72B91" w14:textId="77777777">
        <w:tc>
          <w:tcPr>
            <w:tcW w:w="4680" w:type="dxa"/>
            <w:tcBorders>
              <w:top w:val="nil"/>
              <w:left w:val="nil"/>
              <w:bottom w:val="nil"/>
              <w:right w:val="nil"/>
            </w:tcBorders>
            <w:tcMar>
              <w:top w:w="20" w:type="dxa"/>
              <w:left w:w="20" w:type="dxa"/>
              <w:bottom w:w="20" w:type="dxa"/>
              <w:right w:w="20" w:type="dxa"/>
            </w:tcMar>
            <w:vAlign w:val="bottom"/>
          </w:tcPr>
          <w:p w14:paraId="32A6563A"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3246CC82"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61205E1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2EF99C39" w14:textId="77777777">
        <w:tc>
          <w:tcPr>
            <w:tcW w:w="4680" w:type="dxa"/>
            <w:tcBorders>
              <w:top w:val="nil"/>
              <w:left w:val="nil"/>
              <w:bottom w:val="nil"/>
              <w:right w:val="nil"/>
            </w:tcBorders>
            <w:tcMar>
              <w:top w:w="20" w:type="dxa"/>
              <w:left w:w="20" w:type="dxa"/>
              <w:bottom w:w="20" w:type="dxa"/>
              <w:right w:w="20" w:type="dxa"/>
            </w:tcMar>
            <w:vAlign w:val="bottom"/>
          </w:tcPr>
          <w:p w14:paraId="40DF39E2" w14:textId="5EF52DA6"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54C20">
              <w:rPr>
                <w:rFonts w:ascii="Arial" w:hAnsi="Arial" w:cs="Arial"/>
                <w:color w:val="252525"/>
              </w:rPr>
              <w:t>2</w:t>
            </w:r>
            <w:r w:rsidR="004B3743">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4EBC75A2"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14:paraId="677FCD41" w14:textId="77777777">
        <w:tc>
          <w:tcPr>
            <w:tcW w:w="4680" w:type="dxa"/>
            <w:tcBorders>
              <w:top w:val="nil"/>
              <w:left w:val="nil"/>
              <w:bottom w:val="nil"/>
              <w:right w:val="nil"/>
            </w:tcBorders>
            <w:tcMar>
              <w:top w:w="20" w:type="dxa"/>
              <w:left w:w="20" w:type="dxa"/>
              <w:bottom w:w="20" w:type="dxa"/>
              <w:right w:w="20" w:type="dxa"/>
            </w:tcMar>
            <w:vAlign w:val="bottom"/>
          </w:tcPr>
          <w:p w14:paraId="38EAFE6A" w14:textId="0ACECF72"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5B4B25">
              <w:rPr>
                <w:rFonts w:ascii="Arial" w:hAnsi="Arial" w:cs="Arial"/>
                <w:color w:val="252525"/>
              </w:rPr>
              <w:t>2</w:t>
            </w:r>
            <w:r w:rsidR="004B3743">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2A2EFBD4"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099DD742" w14:textId="77777777">
        <w:tc>
          <w:tcPr>
            <w:tcW w:w="4680" w:type="dxa"/>
            <w:tcBorders>
              <w:top w:val="nil"/>
              <w:left w:val="nil"/>
              <w:bottom w:val="nil"/>
              <w:right w:val="nil"/>
            </w:tcBorders>
            <w:tcMar>
              <w:top w:w="20" w:type="dxa"/>
              <w:left w:w="20" w:type="dxa"/>
              <w:bottom w:w="20" w:type="dxa"/>
              <w:right w:w="20" w:type="dxa"/>
            </w:tcMar>
            <w:vAlign w:val="bottom"/>
          </w:tcPr>
          <w:p w14:paraId="2CF21D44" w14:textId="7EFAD371"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4B3743">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14:paraId="5F598DB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3CB11166" w14:textId="77777777">
        <w:tc>
          <w:tcPr>
            <w:tcW w:w="4680" w:type="dxa"/>
            <w:tcBorders>
              <w:top w:val="nil"/>
              <w:left w:val="nil"/>
              <w:bottom w:val="nil"/>
              <w:right w:val="nil"/>
            </w:tcBorders>
            <w:tcMar>
              <w:top w:w="20" w:type="dxa"/>
              <w:left w:w="20" w:type="dxa"/>
              <w:bottom w:w="20" w:type="dxa"/>
              <w:right w:w="20" w:type="dxa"/>
            </w:tcMar>
            <w:vAlign w:val="bottom"/>
          </w:tcPr>
          <w:p w14:paraId="0757C08B" w14:textId="34328CD8"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4B3743">
              <w:rPr>
                <w:rFonts w:ascii="Arial" w:hAnsi="Arial" w:cs="Arial"/>
                <w:color w:val="252525"/>
              </w:rPr>
              <w:t>8</w:t>
            </w:r>
          </w:p>
        </w:tc>
        <w:tc>
          <w:tcPr>
            <w:tcW w:w="4680" w:type="dxa"/>
            <w:tcBorders>
              <w:top w:val="nil"/>
              <w:left w:val="nil"/>
              <w:bottom w:val="nil"/>
              <w:right w:val="nil"/>
            </w:tcBorders>
            <w:tcMar>
              <w:top w:w="20" w:type="dxa"/>
              <w:left w:w="20" w:type="dxa"/>
              <w:bottom w:w="20" w:type="dxa"/>
              <w:right w:w="20" w:type="dxa"/>
            </w:tcMar>
            <w:vAlign w:val="bottom"/>
          </w:tcPr>
          <w:p w14:paraId="4C824580"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7A8A7CE1" w14:textId="77777777">
        <w:tc>
          <w:tcPr>
            <w:tcW w:w="4680" w:type="dxa"/>
            <w:tcBorders>
              <w:top w:val="nil"/>
              <w:left w:val="nil"/>
              <w:bottom w:val="nil"/>
              <w:right w:val="nil"/>
            </w:tcBorders>
            <w:tcMar>
              <w:top w:w="20" w:type="dxa"/>
              <w:left w:w="20" w:type="dxa"/>
              <w:bottom w:w="20" w:type="dxa"/>
              <w:right w:w="20" w:type="dxa"/>
            </w:tcMar>
            <w:vAlign w:val="bottom"/>
          </w:tcPr>
          <w:p w14:paraId="6FF53DFC" w14:textId="70667D70"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4B3743">
              <w:rPr>
                <w:rFonts w:ascii="Arial" w:hAnsi="Arial" w:cs="Arial"/>
                <w:color w:val="252525"/>
              </w:rPr>
              <w:t>9</w:t>
            </w:r>
          </w:p>
        </w:tc>
        <w:tc>
          <w:tcPr>
            <w:tcW w:w="4680" w:type="dxa"/>
            <w:tcBorders>
              <w:top w:val="nil"/>
              <w:left w:val="nil"/>
              <w:bottom w:val="nil"/>
              <w:right w:val="nil"/>
            </w:tcBorders>
            <w:tcMar>
              <w:top w:w="20" w:type="dxa"/>
              <w:left w:w="20" w:type="dxa"/>
              <w:bottom w:w="20" w:type="dxa"/>
              <w:right w:w="20" w:type="dxa"/>
            </w:tcMar>
            <w:vAlign w:val="bottom"/>
          </w:tcPr>
          <w:p w14:paraId="2E57D4C6"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08A2B151" w14:textId="77777777">
        <w:tc>
          <w:tcPr>
            <w:tcW w:w="4680" w:type="dxa"/>
            <w:tcBorders>
              <w:top w:val="nil"/>
              <w:left w:val="nil"/>
              <w:bottom w:val="nil"/>
              <w:right w:val="nil"/>
            </w:tcBorders>
            <w:tcMar>
              <w:top w:w="20" w:type="dxa"/>
              <w:left w:w="20" w:type="dxa"/>
              <w:bottom w:w="20" w:type="dxa"/>
              <w:right w:w="20" w:type="dxa"/>
            </w:tcMar>
            <w:vAlign w:val="bottom"/>
          </w:tcPr>
          <w:p w14:paraId="2DE5B27C"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5FFD0481"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14:paraId="64792BD8" w14:textId="77777777" w:rsidR="002A7845" w:rsidRDefault="002A7845" w:rsidP="00FC7863">
      <w:pPr>
        <w:widowControl w:val="0"/>
        <w:suppressAutoHyphens/>
        <w:autoSpaceDE w:val="0"/>
        <w:autoSpaceDN w:val="0"/>
        <w:adjustRightInd w:val="0"/>
        <w:spacing w:after="0" w:line="240" w:lineRule="auto"/>
        <w:rPr>
          <w:rFonts w:ascii="Arial" w:hAnsi="Arial" w:cs="Arial"/>
          <w:color w:val="252525"/>
        </w:rPr>
      </w:pPr>
    </w:p>
    <w:p w14:paraId="00A86F9A" w14:textId="77777777" w:rsidR="00FF3390" w:rsidRDefault="00FF3390" w:rsidP="00FC7863">
      <w:pPr>
        <w:widowControl w:val="0"/>
        <w:suppressAutoHyphens/>
        <w:autoSpaceDE w:val="0"/>
        <w:autoSpaceDN w:val="0"/>
        <w:adjustRightInd w:val="0"/>
        <w:spacing w:after="0" w:line="240" w:lineRule="auto"/>
        <w:rPr>
          <w:rFonts w:ascii="Arial" w:hAnsi="Arial" w:cs="Arial"/>
          <w:color w:val="252525"/>
        </w:rPr>
      </w:pPr>
    </w:p>
    <w:p w14:paraId="76B8A8D1" w14:textId="77777777" w:rsidR="00FF3390" w:rsidRPr="00FC7863" w:rsidRDefault="00FF3390" w:rsidP="00FC7863">
      <w:pPr>
        <w:widowControl w:val="0"/>
        <w:suppressAutoHyphens/>
        <w:autoSpaceDE w:val="0"/>
        <w:autoSpaceDN w:val="0"/>
        <w:adjustRightInd w:val="0"/>
        <w:spacing w:after="0" w:line="240" w:lineRule="auto"/>
        <w:rPr>
          <w:rFonts w:ascii="Arial" w:hAnsi="Arial" w:cs="Arial"/>
          <w:color w:val="252525"/>
        </w:rPr>
      </w:pPr>
    </w:p>
    <w:p w14:paraId="1793D8E2" w14:textId="0F68FE75"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lastRenderedPageBreak/>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 xml:space="preserve">he total </w:t>
      </w:r>
      <w:r w:rsidR="00951F49">
        <w:rPr>
          <w:rFonts w:ascii="Arial" w:hAnsi="Arial" w:cs="Arial"/>
          <w:color w:val="252525"/>
        </w:rPr>
        <w:t>OPEB</w:t>
      </w:r>
      <w:r w:rsidRPr="009575FE">
        <w:rPr>
          <w:rFonts w:ascii="Arial" w:hAnsi="Arial" w:cs="Arial"/>
          <w:color w:val="252525"/>
        </w:rPr>
        <w:t xml:space="preserve"> liability in</w:t>
      </w:r>
      <w:r w:rsidRPr="00E27355">
        <w:rPr>
          <w:rFonts w:ascii="Arial" w:hAnsi="Arial" w:cs="Arial"/>
          <w:color w:val="252525"/>
        </w:rPr>
        <w:t xml:space="preserve"> the </w:t>
      </w:r>
      <w:r w:rsidR="005D755E">
        <w:rPr>
          <w:rFonts w:ascii="Arial" w:hAnsi="Arial" w:cs="Arial"/>
        </w:rPr>
        <w:t>July 1, 20</w:t>
      </w:r>
      <w:r w:rsidR="00496531">
        <w:rPr>
          <w:rFonts w:ascii="Arial" w:hAnsi="Arial" w:cs="Arial"/>
        </w:rPr>
        <w:t>2</w:t>
      </w:r>
      <w:r w:rsidR="004B3743">
        <w:rPr>
          <w:rFonts w:ascii="Arial" w:hAnsi="Arial" w:cs="Arial"/>
        </w:rPr>
        <w:t>4</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14:paraId="3BA5BC67" w14:textId="77777777"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DF420A8" w14:textId="77777777"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39959C9B" w14:textId="77777777"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14:paraId="5F4B6745"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603989F1"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1A6DCA2E" w14:textId="0954490A" w:rsidR="00EB05EE" w:rsidRDefault="00955EE5">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w:t>
            </w:r>
            <w:r w:rsidR="00496531">
              <w:rPr>
                <w:rFonts w:ascii="Arial" w:hAnsi="Arial" w:cs="Arial"/>
                <w:sz w:val="22"/>
                <w:szCs w:val="22"/>
              </w:rPr>
              <w:t>25</w:t>
            </w:r>
            <w:r w:rsidR="00EB05EE" w:rsidRPr="00E27355">
              <w:rPr>
                <w:rFonts w:ascii="Arial" w:hAnsi="Arial" w:cs="Arial"/>
                <w:sz w:val="22"/>
                <w:szCs w:val="22"/>
              </w:rPr>
              <w:t xml:space="preserve">% </w:t>
            </w:r>
          </w:p>
          <w:p w14:paraId="00F20235" w14:textId="77777777" w:rsidR="003207EB" w:rsidRPr="00E27355" w:rsidRDefault="003207EB">
            <w:pPr>
              <w:pStyle w:val="Default"/>
              <w:rPr>
                <w:rFonts w:ascii="Arial" w:hAnsi="Arial" w:cs="Arial"/>
                <w:sz w:val="22"/>
                <w:szCs w:val="22"/>
              </w:rPr>
            </w:pPr>
          </w:p>
        </w:tc>
      </w:tr>
      <w:tr w:rsidR="00EB05EE" w:rsidRPr="00E27355" w14:paraId="588F13B4" w14:textId="77777777"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6AC5AEDC" w14:textId="77777777"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3CD22FB3" w14:textId="77777777" w:rsidR="00EB05EE" w:rsidRPr="00496531" w:rsidRDefault="00955EE5" w:rsidP="003207EB">
            <w:pPr>
              <w:pStyle w:val="Default"/>
              <w:rPr>
                <w:rFonts w:ascii="Arial" w:hAnsi="Arial" w:cs="Arial"/>
                <w:color w:val="000000" w:themeColor="text1"/>
                <w:sz w:val="22"/>
                <w:szCs w:val="22"/>
              </w:rPr>
            </w:pPr>
            <w:r w:rsidRPr="00496531">
              <w:rPr>
                <w:rFonts w:ascii="Arial" w:hAnsi="Arial" w:cs="Arial"/>
                <w:color w:val="000000" w:themeColor="text1"/>
                <w:sz w:val="22"/>
                <w:szCs w:val="22"/>
              </w:rPr>
              <w:t>Not applicable</w:t>
            </w:r>
          </w:p>
          <w:p w14:paraId="667CB094" w14:textId="77777777" w:rsidR="003207EB" w:rsidRPr="00E27355" w:rsidRDefault="003207EB" w:rsidP="003207EB">
            <w:pPr>
              <w:pStyle w:val="Default"/>
              <w:rPr>
                <w:rFonts w:ascii="Arial" w:hAnsi="Arial" w:cs="Arial"/>
                <w:color w:val="000000" w:themeColor="text1"/>
                <w:sz w:val="22"/>
                <w:szCs w:val="22"/>
              </w:rPr>
            </w:pPr>
          </w:p>
        </w:tc>
      </w:tr>
      <w:tr w:rsidR="00EB05EE" w:rsidRPr="00E27355" w14:paraId="71274C9D"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3F3B67D"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37AC8193" w14:textId="53B308E8" w:rsidR="00EB05EE" w:rsidRDefault="00BC4332">
            <w:pPr>
              <w:pStyle w:val="Default"/>
              <w:rPr>
                <w:rFonts w:ascii="Arial" w:hAnsi="Arial" w:cs="Arial"/>
                <w:sz w:val="22"/>
                <w:szCs w:val="22"/>
              </w:rPr>
            </w:pPr>
            <w:r>
              <w:rPr>
                <w:rFonts w:ascii="Arial" w:hAnsi="Arial" w:cs="Arial"/>
                <w:sz w:val="22"/>
                <w:szCs w:val="22"/>
              </w:rPr>
              <w:t>5.75</w:t>
            </w:r>
            <w:r w:rsidR="00EB05EE" w:rsidRPr="00E27355">
              <w:rPr>
                <w:rFonts w:ascii="Arial" w:hAnsi="Arial" w:cs="Arial"/>
                <w:sz w:val="22"/>
                <w:szCs w:val="22"/>
              </w:rPr>
              <w:t xml:space="preserve">%, net of investment expenses </w:t>
            </w:r>
          </w:p>
          <w:p w14:paraId="6FF3A5AA" w14:textId="77777777" w:rsidR="00955EE5" w:rsidRPr="00E27355" w:rsidRDefault="00955EE5">
            <w:pPr>
              <w:pStyle w:val="Default"/>
              <w:rPr>
                <w:rFonts w:ascii="Arial" w:hAnsi="Arial" w:cs="Arial"/>
                <w:sz w:val="22"/>
                <w:szCs w:val="22"/>
              </w:rPr>
            </w:pPr>
          </w:p>
        </w:tc>
      </w:tr>
      <w:tr w:rsidR="00EB05EE" w:rsidRPr="00E27355" w14:paraId="2D1953F0"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BB30592"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6DE9601E"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14:paraId="15888CAE" w14:textId="7777777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3FB5ED89"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41668852"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14:paraId="3289AF5A" w14:textId="511B3A19"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 xml:space="preserve">the </w:t>
      </w:r>
      <w:r w:rsidR="00496531" w:rsidRPr="00496531">
        <w:rPr>
          <w:rFonts w:ascii="Arial" w:hAnsi="Arial" w:cs="Arial"/>
          <w:sz w:val="22"/>
          <w:szCs w:val="22"/>
        </w:rPr>
        <w:t>MortalityPub-2010 Healthy Retiree Mortality table (for General Employees), sex-distinct, with rates multiplied by 103% for males and 101% for females. Pub-2010 Disabled Retiree Mortality table (for General Employees), sex-distinct, with rates multiplied by 117% for males and 112% for females. Pub-2010 Employee Mortality table (for General Employees), sex-distinct, with rates multiplied by 92% for both males and females. Mortality rates are projected from 2010 using the MP-2019 scale.</w:t>
      </w:r>
    </w:p>
    <w:p w14:paraId="6718D5C0" w14:textId="77777777"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14:paraId="3ECD2095" w14:textId="1080B063" w:rsidR="000F49B3" w:rsidRDefault="005D5AD2" w:rsidP="005D5AD2">
      <w:pPr>
        <w:autoSpaceDE w:val="0"/>
        <w:autoSpaceDN w:val="0"/>
        <w:adjustRightInd w:val="0"/>
        <w:spacing w:after="0" w:line="240" w:lineRule="auto"/>
        <w:rPr>
          <w:rFonts w:ascii="ArialMT" w:hAnsi="ArialMT" w:cs="ArialMT"/>
        </w:rPr>
      </w:pPr>
      <w:r>
        <w:rPr>
          <w:rFonts w:ascii="ArialMT" w:hAnsi="ArialMT" w:cs="ArialMT"/>
        </w:rPr>
        <w:t>The long-term expected investment rate of return assumption for the RHIC fund was determined using a building-block method in which best-estimate ranges of expected future real rates of return (expected returns, net of RHIC investment expense and inflation) are developed for each major asset class. These ranges are combined to produce the long-term expected rate of return by weighting the expected future real rates of return by the target asset allocation percentage and by adding expected inflation. Estimates of arithmetic real rates of return, for each major asset class included in the RHIC’s target asset allocation as of July 1, 20</w:t>
      </w:r>
      <w:r w:rsidR="00496531">
        <w:rPr>
          <w:rFonts w:ascii="ArialMT" w:hAnsi="ArialMT" w:cs="ArialMT"/>
        </w:rPr>
        <w:t>2</w:t>
      </w:r>
      <w:r w:rsidR="004B3743">
        <w:rPr>
          <w:rFonts w:ascii="ArialMT" w:hAnsi="ArialMT" w:cs="ArialMT"/>
        </w:rPr>
        <w:t>4</w:t>
      </w:r>
      <w:r>
        <w:rPr>
          <w:rFonts w:ascii="ArialMT" w:hAnsi="ArialMT" w:cs="ArialMT"/>
        </w:rPr>
        <w:t xml:space="preserve"> are summarized in the following table:</w:t>
      </w:r>
    </w:p>
    <w:p w14:paraId="5E67DB4E" w14:textId="77777777" w:rsidR="005D5AD2" w:rsidRPr="005D5AD2" w:rsidRDefault="005D5AD2" w:rsidP="005D5AD2">
      <w:pPr>
        <w:autoSpaceDE w:val="0"/>
        <w:autoSpaceDN w:val="0"/>
        <w:adjustRightInd w:val="0"/>
        <w:spacing w:after="0" w:line="240" w:lineRule="auto"/>
        <w:rPr>
          <w:rFonts w:ascii="ArialMT" w:hAnsi="ArialMT" w:cs="ArialMT"/>
        </w:rPr>
      </w:pPr>
    </w:p>
    <w:tbl>
      <w:tblPr>
        <w:tblStyle w:val="TableGrid"/>
        <w:tblW w:w="0" w:type="auto"/>
        <w:tblLook w:val="04A0" w:firstRow="1" w:lastRow="0" w:firstColumn="1" w:lastColumn="0" w:noHBand="0" w:noVBand="1"/>
      </w:tblPr>
      <w:tblGrid>
        <w:gridCol w:w="3192"/>
        <w:gridCol w:w="3192"/>
        <w:gridCol w:w="3192"/>
      </w:tblGrid>
      <w:tr w:rsidR="000F49B3" w14:paraId="0DC7FDDA" w14:textId="77777777" w:rsidTr="00B54C20">
        <w:tc>
          <w:tcPr>
            <w:tcW w:w="3192" w:type="dxa"/>
          </w:tcPr>
          <w:p w14:paraId="51551DBF"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14:paraId="4962FD21"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14:paraId="7595C589"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14:paraId="7A38A5AE" w14:textId="77777777" w:rsidTr="00B54C20">
        <w:tc>
          <w:tcPr>
            <w:tcW w:w="3192" w:type="dxa"/>
          </w:tcPr>
          <w:p w14:paraId="4C624905" w14:textId="77777777" w:rsidR="000F49B3"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Large Cap </w:t>
            </w:r>
            <w:r w:rsidR="005D5AD2">
              <w:rPr>
                <w:rFonts w:ascii="Arial" w:hAnsi="Arial" w:cs="Arial"/>
                <w:color w:val="252525"/>
              </w:rPr>
              <w:t>Domestic Equities</w:t>
            </w:r>
          </w:p>
        </w:tc>
        <w:tc>
          <w:tcPr>
            <w:tcW w:w="3192" w:type="dxa"/>
          </w:tcPr>
          <w:p w14:paraId="719820D3" w14:textId="4FAFC82C" w:rsidR="000F49B3" w:rsidRDefault="00496531"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33</w:t>
            </w:r>
            <w:r w:rsidR="00214C5A">
              <w:rPr>
                <w:rFonts w:ascii="Arial" w:hAnsi="Arial" w:cs="Arial"/>
                <w:color w:val="252525"/>
              </w:rPr>
              <w:t>%</w:t>
            </w:r>
          </w:p>
        </w:tc>
        <w:tc>
          <w:tcPr>
            <w:tcW w:w="3192" w:type="dxa"/>
          </w:tcPr>
          <w:p w14:paraId="743040F3" w14:textId="1CBF7E22" w:rsidR="000F49B3" w:rsidRDefault="004B3743"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4.00</w:t>
            </w:r>
            <w:r w:rsidR="00214C5A">
              <w:rPr>
                <w:rFonts w:ascii="Arial" w:hAnsi="Arial" w:cs="Arial"/>
                <w:color w:val="252525"/>
              </w:rPr>
              <w:t>%</w:t>
            </w:r>
          </w:p>
        </w:tc>
      </w:tr>
      <w:tr w:rsidR="00B54C20" w14:paraId="136BDC99" w14:textId="77777777" w:rsidTr="00B54C20">
        <w:tc>
          <w:tcPr>
            <w:tcW w:w="3192" w:type="dxa"/>
          </w:tcPr>
          <w:p w14:paraId="6A390AB4" w14:textId="77777777" w:rsidR="00B54C20"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Small Cap Domestic Equities</w:t>
            </w:r>
          </w:p>
        </w:tc>
        <w:tc>
          <w:tcPr>
            <w:tcW w:w="3192" w:type="dxa"/>
          </w:tcPr>
          <w:p w14:paraId="295C9D65" w14:textId="676E9A21" w:rsidR="00B54C20"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496531">
              <w:rPr>
                <w:rFonts w:ascii="Arial" w:hAnsi="Arial" w:cs="Arial"/>
                <w:color w:val="252525"/>
              </w:rPr>
              <w:t>6</w:t>
            </w:r>
            <w:r w:rsidR="00B54C20">
              <w:rPr>
                <w:rFonts w:ascii="Arial" w:hAnsi="Arial" w:cs="Arial"/>
                <w:color w:val="252525"/>
              </w:rPr>
              <w:t>%</w:t>
            </w:r>
          </w:p>
        </w:tc>
        <w:tc>
          <w:tcPr>
            <w:tcW w:w="3192" w:type="dxa"/>
          </w:tcPr>
          <w:p w14:paraId="610EE4C9" w14:textId="047EA521" w:rsidR="00B54C20" w:rsidRDefault="00B54C20" w:rsidP="00B54C20">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4B3743">
              <w:rPr>
                <w:rFonts w:ascii="Arial" w:hAnsi="Arial" w:cs="Arial"/>
                <w:color w:val="252525"/>
              </w:rPr>
              <w:t>6.00</w:t>
            </w:r>
            <w:r>
              <w:rPr>
                <w:rFonts w:ascii="Arial" w:hAnsi="Arial" w:cs="Arial"/>
                <w:color w:val="252525"/>
              </w:rPr>
              <w:t>%</w:t>
            </w:r>
          </w:p>
        </w:tc>
      </w:tr>
      <w:tr w:rsidR="00B54C20" w14:paraId="7433BDCB" w14:textId="77777777" w:rsidTr="00B54C20">
        <w:tc>
          <w:tcPr>
            <w:tcW w:w="3192" w:type="dxa"/>
          </w:tcPr>
          <w:p w14:paraId="2BFA8A70" w14:textId="77777777" w:rsidR="00B54C20" w:rsidRDefault="00B54C20" w:rsidP="00FC7863">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14:paraId="459DAEA6" w14:textId="2B17E213" w:rsidR="00B54C20" w:rsidRDefault="00BC4332"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35</w:t>
            </w:r>
            <w:r w:rsidR="00B54C20">
              <w:rPr>
                <w:rFonts w:ascii="Arial" w:hAnsi="Arial" w:cs="Arial"/>
                <w:color w:val="252525"/>
              </w:rPr>
              <w:t>%</w:t>
            </w:r>
          </w:p>
        </w:tc>
        <w:tc>
          <w:tcPr>
            <w:tcW w:w="3192" w:type="dxa"/>
          </w:tcPr>
          <w:p w14:paraId="4D41E67A" w14:textId="463E11F0" w:rsidR="00B54C20" w:rsidRDefault="00B54C20"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4B3743">
              <w:rPr>
                <w:rFonts w:ascii="Arial" w:hAnsi="Arial" w:cs="Arial"/>
                <w:color w:val="252525"/>
              </w:rPr>
              <w:t>3.29</w:t>
            </w:r>
            <w:r>
              <w:rPr>
                <w:rFonts w:ascii="Arial" w:hAnsi="Arial" w:cs="Arial"/>
                <w:color w:val="252525"/>
              </w:rPr>
              <w:t>%</w:t>
            </w:r>
          </w:p>
        </w:tc>
      </w:tr>
      <w:tr w:rsidR="00B54C20" w14:paraId="7260CA30" w14:textId="77777777" w:rsidTr="00B54C20">
        <w:tc>
          <w:tcPr>
            <w:tcW w:w="3192" w:type="dxa"/>
          </w:tcPr>
          <w:p w14:paraId="00050F09" w14:textId="77777777" w:rsidR="00B54C20"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Equities</w:t>
            </w:r>
          </w:p>
        </w:tc>
        <w:tc>
          <w:tcPr>
            <w:tcW w:w="3192" w:type="dxa"/>
          </w:tcPr>
          <w:p w14:paraId="5D1E6A2A" w14:textId="02EC7EA7" w:rsidR="00B54C20" w:rsidRDefault="00BC4332"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26</w:t>
            </w:r>
            <w:r w:rsidR="00214C5A">
              <w:rPr>
                <w:rFonts w:ascii="Arial" w:hAnsi="Arial" w:cs="Arial"/>
                <w:color w:val="252525"/>
              </w:rPr>
              <w:t>%</w:t>
            </w:r>
          </w:p>
        </w:tc>
        <w:tc>
          <w:tcPr>
            <w:tcW w:w="3192" w:type="dxa"/>
          </w:tcPr>
          <w:p w14:paraId="72DBB94E" w14:textId="62EACC9B" w:rsidR="00B54C20" w:rsidRDefault="004B3743"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7.00</w:t>
            </w:r>
            <w:r w:rsidR="00214C5A">
              <w:rPr>
                <w:rFonts w:ascii="Arial" w:hAnsi="Arial" w:cs="Arial"/>
                <w:color w:val="252525"/>
              </w:rPr>
              <w:t>%</w:t>
            </w:r>
          </w:p>
        </w:tc>
      </w:tr>
    </w:tbl>
    <w:p w14:paraId="0639802A" w14:textId="77777777"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14:paraId="66F66DF3" w14:textId="073F7A9E" w:rsidR="005557E2" w:rsidRPr="005557E2" w:rsidRDefault="00F61E87" w:rsidP="005557E2">
      <w:pPr>
        <w:autoSpaceDE w:val="0"/>
        <w:autoSpaceDN w:val="0"/>
        <w:adjustRightInd w:val="0"/>
        <w:spacing w:after="0" w:line="240" w:lineRule="auto"/>
        <w:rPr>
          <w:rFonts w:ascii="ArialMT" w:hAnsi="ArialMT" w:cs="ArialMT"/>
        </w:rPr>
      </w:pPr>
      <w:r w:rsidRPr="00EE45ED">
        <w:rPr>
          <w:rFonts w:ascii="Arial" w:hAnsi="Arial" w:cs="Arial"/>
          <w:b/>
          <w:i/>
          <w:iCs/>
          <w:color w:val="252525"/>
        </w:rPr>
        <w:t>Discount rate</w:t>
      </w:r>
      <w:r w:rsidRPr="00EE45ED">
        <w:rPr>
          <w:rFonts w:ascii="Arial" w:hAnsi="Arial" w:cs="Arial"/>
          <w:b/>
          <w:color w:val="252525"/>
        </w:rPr>
        <w:t xml:space="preserve">. </w:t>
      </w:r>
      <w:r w:rsidR="005557E2" w:rsidRPr="00EE45ED">
        <w:rPr>
          <w:rFonts w:ascii="ArialMT" w:hAnsi="ArialMT" w:cs="ArialMT"/>
        </w:rPr>
        <w:t xml:space="preserve">The discount rate used to measure the </w:t>
      </w:r>
      <w:r w:rsidR="008F070B" w:rsidRPr="00EE45ED">
        <w:rPr>
          <w:rFonts w:ascii="ArialMT" w:hAnsi="ArialMT" w:cs="ArialMT"/>
        </w:rPr>
        <w:t xml:space="preserve">total OPEB liability was </w:t>
      </w:r>
      <w:r w:rsidR="00BC4332">
        <w:rPr>
          <w:rFonts w:ascii="ArialMT" w:hAnsi="ArialMT" w:cs="ArialMT"/>
        </w:rPr>
        <w:t>5.75</w:t>
      </w:r>
      <w:r w:rsidR="005557E2" w:rsidRPr="00EE45ED">
        <w:rPr>
          <w:rFonts w:ascii="ArialMT" w:hAnsi="ArialMT" w:cs="ArialMT"/>
        </w:rPr>
        <w:t>%. The projection of cash flows used to determine the</w:t>
      </w:r>
      <w:r w:rsidR="005557E2">
        <w:rPr>
          <w:rFonts w:ascii="ArialMT" w:hAnsi="ArialMT" w:cs="ArialMT"/>
        </w:rPr>
        <w:t xml:space="preserve"> discount rate assumed plan member and statutory</w:t>
      </w:r>
      <w:r w:rsidR="00E8184C">
        <w:rPr>
          <w:rFonts w:ascii="ArialMT" w:hAnsi="ArialMT" w:cs="ArialMT"/>
        </w:rPr>
        <w:t xml:space="preserve"> rates described in this report</w:t>
      </w:r>
      <w:r w:rsidR="005557E2">
        <w:rPr>
          <w:rFonts w:ascii="ArialMT" w:hAnsi="ArialMT" w:cs="ArialMT"/>
        </w:rPr>
        <w:t>. For this purpose, only employer contributions that are intended to fund benefits of current RHIC members and their beneficiaries are included. Projected employer contributions that are intended to fund the service costs of future plan members and their beneficiaries are not included. Based on those assumptions, the RHIC fiduciary net position was projected to be sufficient to make all projected future benefit payments of current plan members. Therefore, the long-term expected rate of return on RHIC investments was applied to all periods of projected benefit payments to determine the total OPEB liability.</w:t>
      </w:r>
    </w:p>
    <w:p w14:paraId="16E4E0F1" w14:textId="77777777" w:rsidR="002A7845" w:rsidRDefault="00F61E87" w:rsidP="00231F49">
      <w:pPr>
        <w:autoSpaceDE w:val="0"/>
        <w:autoSpaceDN w:val="0"/>
        <w:adjustRightInd w:val="0"/>
        <w:spacing w:after="0" w:line="240" w:lineRule="auto"/>
        <w:rPr>
          <w:rFonts w:ascii="Arial" w:hAnsi="Arial" w:cs="Arial"/>
          <w:b/>
          <w:i/>
          <w:color w:val="000000" w:themeColor="text1"/>
          <w:sz w:val="20"/>
          <w:szCs w:val="20"/>
        </w:rPr>
      </w:pPr>
      <w:r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p>
    <w:p w14:paraId="4E2E67DA"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7D4DECF5" w14:textId="77777777" w:rsidR="00E8184C" w:rsidRDefault="00E8184C" w:rsidP="005557E2">
      <w:pPr>
        <w:autoSpaceDE w:val="0"/>
        <w:autoSpaceDN w:val="0"/>
        <w:adjustRightInd w:val="0"/>
        <w:spacing w:after="0" w:line="240" w:lineRule="auto"/>
        <w:rPr>
          <w:rFonts w:ascii="Arial" w:hAnsi="Arial" w:cs="Arial"/>
          <w:b/>
          <w:i/>
          <w:iCs/>
          <w:color w:val="252525"/>
        </w:rPr>
      </w:pPr>
    </w:p>
    <w:p w14:paraId="5A317001" w14:textId="77777777" w:rsidR="00E8184C" w:rsidRDefault="00E8184C" w:rsidP="005557E2">
      <w:pPr>
        <w:autoSpaceDE w:val="0"/>
        <w:autoSpaceDN w:val="0"/>
        <w:adjustRightInd w:val="0"/>
        <w:spacing w:after="0" w:line="240" w:lineRule="auto"/>
        <w:rPr>
          <w:rFonts w:ascii="Arial" w:hAnsi="Arial" w:cs="Arial"/>
          <w:b/>
          <w:i/>
          <w:iCs/>
          <w:color w:val="252525"/>
        </w:rPr>
      </w:pPr>
    </w:p>
    <w:p w14:paraId="6552F786" w14:textId="0C496EE1" w:rsidR="002A7845" w:rsidRPr="005557E2" w:rsidRDefault="00F61E87" w:rsidP="005557E2">
      <w:pPr>
        <w:autoSpaceDE w:val="0"/>
        <w:autoSpaceDN w:val="0"/>
        <w:adjustRightInd w:val="0"/>
        <w:spacing w:after="0" w:line="240" w:lineRule="auto"/>
        <w:rPr>
          <w:rFonts w:ascii="ArialMT" w:hAnsi="ArialMT" w:cs="ArialMT"/>
        </w:rPr>
      </w:pPr>
      <w:r w:rsidRPr="00FC7863">
        <w:rPr>
          <w:rFonts w:ascii="Arial" w:hAnsi="Arial" w:cs="Arial"/>
          <w:b/>
          <w:i/>
          <w:iCs/>
          <w:color w:val="252525"/>
        </w:rPr>
        <w:lastRenderedPageBreak/>
        <w:t xml:space="preserve">Sensitivity of the </w:t>
      </w:r>
      <w:r w:rsidR="00E83725">
        <w:rPr>
          <w:rFonts w:ascii="Arial" w:hAnsi="Arial" w:cs="Arial"/>
          <w:b/>
          <w:i/>
          <w:iCs/>
          <w:color w:val="252525"/>
        </w:rPr>
        <w:t>Employer</w:t>
      </w:r>
      <w:r w:rsidRPr="00FC7863">
        <w:rPr>
          <w:rFonts w:ascii="Arial" w:hAnsi="Arial" w:cs="Arial"/>
          <w:b/>
          <w:i/>
          <w:iCs/>
          <w:color w:val="252525"/>
        </w:rPr>
        <w:t xml:space="preserve">'s proportionate share of the net </w:t>
      </w:r>
      <w:r w:rsidR="00951F49">
        <w:rPr>
          <w:rFonts w:ascii="Arial" w:hAnsi="Arial" w:cs="Arial"/>
          <w:b/>
          <w:i/>
          <w:iCs/>
          <w:color w:val="252525"/>
        </w:rPr>
        <w:t>OPEB</w:t>
      </w:r>
      <w:r w:rsidRPr="00FC7863">
        <w:rPr>
          <w:rFonts w:ascii="Arial" w:hAnsi="Arial" w:cs="Arial"/>
          <w:b/>
          <w:i/>
          <w:iCs/>
          <w:color w:val="252525"/>
        </w:rPr>
        <w:t xml:space="preserve"> liability to changes in the discount rate</w:t>
      </w:r>
      <w:r w:rsidR="00413729">
        <w:rPr>
          <w:rFonts w:ascii="Arial" w:hAnsi="Arial" w:cs="Arial"/>
          <w:b/>
          <w:color w:val="252525"/>
        </w:rPr>
        <w:t>.</w:t>
      </w:r>
      <w:r w:rsidR="00CA65EF">
        <w:rPr>
          <w:rFonts w:ascii="Arial" w:hAnsi="Arial" w:cs="Arial"/>
          <w:color w:val="FF0000"/>
        </w:rPr>
        <w:t xml:space="preserve"> </w:t>
      </w:r>
      <w:r w:rsidR="005557E2">
        <w:rPr>
          <w:rFonts w:ascii="ArialMT" w:hAnsi="ArialMT" w:cs="ArialMT"/>
        </w:rPr>
        <w:t>The following presents the net OPEB liability of the Plans as of June 30, 20</w:t>
      </w:r>
      <w:r w:rsidR="00496531">
        <w:rPr>
          <w:rFonts w:ascii="ArialMT" w:hAnsi="ArialMT" w:cs="ArialMT"/>
        </w:rPr>
        <w:t>2</w:t>
      </w:r>
      <w:r w:rsidR="004B3743">
        <w:rPr>
          <w:rFonts w:ascii="ArialMT" w:hAnsi="ArialMT" w:cs="ArialMT"/>
        </w:rPr>
        <w:t>4</w:t>
      </w:r>
      <w:r w:rsidR="00EE45ED">
        <w:rPr>
          <w:rFonts w:ascii="ArialMT" w:hAnsi="ArialMT" w:cs="ArialMT"/>
        </w:rPr>
        <w:t xml:space="preserve">, </w:t>
      </w:r>
      <w:r w:rsidR="005557E2">
        <w:rPr>
          <w:rFonts w:ascii="ArialMT" w:hAnsi="ArialMT" w:cs="ArialMT"/>
        </w:rPr>
        <w:t xml:space="preserve">calculated using the discount rate of </w:t>
      </w:r>
      <w:r w:rsidR="00BC4332">
        <w:rPr>
          <w:rFonts w:ascii="ArialMT" w:hAnsi="ArialMT" w:cs="ArialMT"/>
        </w:rPr>
        <w:t>5.</w:t>
      </w:r>
      <w:r w:rsidR="00FF3390">
        <w:rPr>
          <w:rFonts w:ascii="ArialMT" w:hAnsi="ArialMT" w:cs="ArialMT"/>
        </w:rPr>
        <w:t>75</w:t>
      </w:r>
      <w:r w:rsidR="005557E2">
        <w:rPr>
          <w:rFonts w:ascii="ArialMT" w:hAnsi="ArialMT" w:cs="ArialMT"/>
        </w:rPr>
        <w:t>%, as well as what the RHIC net OPEB liability would be if it were calculated using a discount rate that is 1-percentage-point lower (</w:t>
      </w:r>
      <w:r w:rsidR="00BC4332">
        <w:rPr>
          <w:rFonts w:ascii="ArialMT" w:hAnsi="ArialMT" w:cs="ArialMT"/>
        </w:rPr>
        <w:t>4.</w:t>
      </w:r>
      <w:r w:rsidR="00FF3390">
        <w:rPr>
          <w:rFonts w:ascii="ArialMT" w:hAnsi="ArialMT" w:cs="ArialMT"/>
        </w:rPr>
        <w:t>75</w:t>
      </w:r>
      <w:r w:rsidR="005557E2">
        <w:rPr>
          <w:rFonts w:ascii="ArialMT" w:hAnsi="ArialMT" w:cs="ArialMT"/>
        </w:rPr>
        <w:t xml:space="preserve"> percent) or 1-percentage-point higher (</w:t>
      </w:r>
      <w:r w:rsidR="00BC4332">
        <w:rPr>
          <w:rFonts w:ascii="ArialMT" w:hAnsi="ArialMT" w:cs="ArialMT"/>
        </w:rPr>
        <w:t>6.</w:t>
      </w:r>
      <w:r w:rsidR="00FF3390">
        <w:rPr>
          <w:rFonts w:ascii="ArialMT" w:hAnsi="ArialMT" w:cs="ArialMT"/>
        </w:rPr>
        <w:t>75</w:t>
      </w:r>
      <w:r w:rsidR="005557E2">
        <w:rPr>
          <w:rFonts w:ascii="ArialMT" w:hAnsi="ArialMT" w:cs="ArialMT"/>
        </w:rPr>
        <w:t xml:space="preserve"> percent) than the current rate:</w:t>
      </w:r>
      <w:r w:rsidR="005557E2"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 xml:space="preserve">Net </w:t>
      </w:r>
      <w:r w:rsidR="005557E2">
        <w:rPr>
          <w:rFonts w:ascii="Arial" w:hAnsi="Arial" w:cs="Arial"/>
          <w:color w:val="FF0000"/>
        </w:rPr>
        <w:t>OPEB</w:t>
      </w:r>
      <w:r w:rsidR="0022661E">
        <w:rPr>
          <w:rFonts w:ascii="Arial" w:hAnsi="Arial" w:cs="Arial"/>
          <w:color w:val="FF0000"/>
        </w:rPr>
        <w:t xml:space="preserve"> Liability Discount Rate Sensitivity by Employer)</w:t>
      </w:r>
    </w:p>
    <w:p w14:paraId="3AEECE0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68BBD891" w14:textId="77777777">
        <w:tc>
          <w:tcPr>
            <w:tcW w:w="2340" w:type="dxa"/>
            <w:tcBorders>
              <w:top w:val="nil"/>
              <w:left w:val="nil"/>
              <w:bottom w:val="nil"/>
              <w:right w:val="nil"/>
            </w:tcBorders>
            <w:tcMar>
              <w:top w:w="20" w:type="dxa"/>
              <w:left w:w="20" w:type="dxa"/>
              <w:bottom w:w="20" w:type="dxa"/>
              <w:right w:w="20" w:type="dxa"/>
            </w:tcMar>
            <w:vAlign w:val="bottom"/>
          </w:tcPr>
          <w:p w14:paraId="76620601"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298D480E" w14:textId="2690AE23"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BC4332">
              <w:rPr>
                <w:rFonts w:ascii="Arial" w:hAnsi="Arial" w:cs="Arial"/>
                <w:b/>
                <w:bCs/>
                <w:color w:val="252525"/>
              </w:rPr>
              <w:t>4.</w:t>
            </w:r>
            <w:r w:rsidR="00FF3390">
              <w:rPr>
                <w:rFonts w:ascii="Arial" w:hAnsi="Arial" w:cs="Arial"/>
                <w:b/>
                <w:bCs/>
                <w:color w:val="252525"/>
              </w:rPr>
              <w:t>75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2C1205F2" w14:textId="78920FD1"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BC4332">
              <w:rPr>
                <w:rFonts w:ascii="Arial" w:hAnsi="Arial" w:cs="Arial"/>
                <w:b/>
                <w:bCs/>
                <w:color w:val="252525"/>
              </w:rPr>
              <w:t>5.</w:t>
            </w:r>
            <w:r w:rsidR="00FF3390">
              <w:rPr>
                <w:rFonts w:ascii="Arial" w:hAnsi="Arial" w:cs="Arial"/>
                <w:b/>
                <w:bCs/>
                <w:color w:val="252525"/>
              </w:rPr>
              <w:t>75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4A7AEBFB" w14:textId="16D197E8"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BC4332">
              <w:rPr>
                <w:rFonts w:ascii="Arial" w:hAnsi="Arial" w:cs="Arial"/>
                <w:b/>
                <w:bCs/>
                <w:color w:val="252525"/>
              </w:rPr>
              <w:t>6.</w:t>
            </w:r>
            <w:r w:rsidR="00FF3390">
              <w:rPr>
                <w:rFonts w:ascii="Arial" w:hAnsi="Arial" w:cs="Arial"/>
                <w:b/>
                <w:bCs/>
                <w:color w:val="252525"/>
              </w:rPr>
              <w:t>75</w:t>
            </w:r>
            <w:r w:rsidRPr="00413729">
              <w:rPr>
                <w:rFonts w:ascii="Arial" w:hAnsi="Arial" w:cs="Arial"/>
                <w:b/>
                <w:bCs/>
                <w:color w:val="252525"/>
              </w:rPr>
              <w:t>%)</w:t>
            </w:r>
          </w:p>
        </w:tc>
      </w:tr>
      <w:tr w:rsidR="002A7845" w:rsidRPr="00FC7863" w14:paraId="60166360" w14:textId="77777777">
        <w:tc>
          <w:tcPr>
            <w:tcW w:w="2340" w:type="dxa"/>
            <w:tcBorders>
              <w:top w:val="nil"/>
              <w:left w:val="nil"/>
              <w:bottom w:val="nil"/>
              <w:right w:val="nil"/>
            </w:tcBorders>
            <w:tcMar>
              <w:top w:w="20" w:type="dxa"/>
              <w:left w:w="20" w:type="dxa"/>
              <w:bottom w:w="20" w:type="dxa"/>
              <w:right w:w="20" w:type="dxa"/>
            </w:tcMar>
            <w:vAlign w:val="bottom"/>
          </w:tcPr>
          <w:p w14:paraId="09703175"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 xml:space="preserve">'s proportionate share of the net </w:t>
            </w:r>
            <w:r w:rsidR="00951F49">
              <w:rPr>
                <w:rFonts w:ascii="Arial" w:hAnsi="Arial" w:cs="Arial"/>
                <w:color w:val="252525"/>
              </w:rPr>
              <w:t>OPEB</w:t>
            </w:r>
            <w:r w:rsidR="00F61E87" w:rsidRPr="00FC7863">
              <w:rPr>
                <w:rFonts w:ascii="Arial" w:hAnsi="Arial" w:cs="Arial"/>
                <w:color w:val="252525"/>
              </w:rPr>
              <w:t xml:space="preserve"> liability</w:t>
            </w:r>
          </w:p>
        </w:tc>
        <w:tc>
          <w:tcPr>
            <w:tcW w:w="2340" w:type="dxa"/>
            <w:tcBorders>
              <w:top w:val="nil"/>
              <w:left w:val="nil"/>
              <w:bottom w:val="nil"/>
              <w:right w:val="nil"/>
            </w:tcBorders>
            <w:tcMar>
              <w:top w:w="20" w:type="dxa"/>
              <w:left w:w="20" w:type="dxa"/>
              <w:bottom w:w="20" w:type="dxa"/>
              <w:right w:w="20" w:type="dxa"/>
            </w:tcMar>
            <w:vAlign w:val="bottom"/>
          </w:tcPr>
          <w:p w14:paraId="302615D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4021C09D"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69E70E24"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14:paraId="55EF5415"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59798D4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272DF353"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14:paraId="28DC8DC5"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30379782"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 xml:space="preserve">’s Share of Net </w:t>
      </w:r>
      <w:r w:rsidR="005557E2">
        <w:rPr>
          <w:rFonts w:ascii="Arial" w:hAnsi="Arial" w:cs="Arial"/>
          <w:b/>
          <w:color w:val="252525"/>
        </w:rPr>
        <w:t>OPEB</w:t>
      </w:r>
      <w:r w:rsidRPr="00855ADA">
        <w:rPr>
          <w:rFonts w:ascii="Arial" w:hAnsi="Arial" w:cs="Arial"/>
          <w:b/>
          <w:color w:val="252525"/>
        </w:rPr>
        <w:t xml:space="preserve"> Liability</w:t>
      </w:r>
    </w:p>
    <w:p w14:paraId="5FBC2101" w14:textId="77777777"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14:paraId="4F4B07D7"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0C78B334"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 xml:space="preserve">E Schedule of Net </w:t>
      </w:r>
      <w:r w:rsidR="00951F49">
        <w:rPr>
          <w:rFonts w:ascii="Arial" w:hAnsi="Arial" w:cs="Arial"/>
          <w:color w:val="FF0000"/>
        </w:rPr>
        <w:t>OPEB</w:t>
      </w:r>
      <w:r w:rsidR="0022661E">
        <w:rPr>
          <w:rFonts w:ascii="Arial" w:hAnsi="Arial" w:cs="Arial"/>
          <w:color w:val="FF0000"/>
        </w:rPr>
        <w:t xml:space="preserve"> Liability by Employer</w:t>
      </w:r>
      <w:r w:rsidRPr="007E3950">
        <w:rPr>
          <w:rFonts w:ascii="Arial" w:hAnsi="Arial" w:cs="Arial"/>
          <w:color w:val="FF0000"/>
        </w:rPr>
        <w:t>)</w:t>
      </w:r>
    </w:p>
    <w:p w14:paraId="0D7F7B2E"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4DCBAAEF" w14:textId="77777777" w:rsidTr="000C1916">
        <w:tc>
          <w:tcPr>
            <w:tcW w:w="4788" w:type="dxa"/>
          </w:tcPr>
          <w:p w14:paraId="6EA54A68"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5624688C" w14:textId="501285B9" w:rsidR="00855ADA" w:rsidRDefault="001272E5"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EE45ED">
              <w:rPr>
                <w:rFonts w:ascii="Arial" w:hAnsi="Arial" w:cs="Arial"/>
                <w:color w:val="252525"/>
              </w:rPr>
              <w:t>2</w:t>
            </w:r>
            <w:r w:rsidR="004B3743">
              <w:rPr>
                <w:rFonts w:ascii="Arial" w:hAnsi="Arial" w:cs="Arial"/>
                <w:color w:val="252525"/>
              </w:rPr>
              <w:t>5</w:t>
            </w:r>
          </w:p>
        </w:tc>
      </w:tr>
      <w:tr w:rsidR="00855ADA" w14:paraId="32DB1A18" w14:textId="77777777" w:rsidTr="00404677">
        <w:trPr>
          <w:trHeight w:val="620"/>
        </w:trPr>
        <w:tc>
          <w:tcPr>
            <w:tcW w:w="4788" w:type="dxa"/>
          </w:tcPr>
          <w:p w14:paraId="19697821"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14:paraId="7E3253A4"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6BBFA99F" w14:textId="77777777"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14:paraId="740AE599" w14:textId="77777777" w:rsidTr="00404677">
        <w:trPr>
          <w:trHeight w:val="620"/>
        </w:trPr>
        <w:tc>
          <w:tcPr>
            <w:tcW w:w="4788" w:type="dxa"/>
          </w:tcPr>
          <w:p w14:paraId="1A84E2C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14:paraId="76FC16B9"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14:paraId="4000A6C7"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14:paraId="3507AF5A" w14:textId="77777777" w:rsidTr="00404677">
        <w:trPr>
          <w:trHeight w:val="440"/>
        </w:trPr>
        <w:tc>
          <w:tcPr>
            <w:tcW w:w="4788" w:type="dxa"/>
          </w:tcPr>
          <w:p w14:paraId="61171F75"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4F1EB587"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6826D6B4"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14:paraId="2C62E635" w14:textId="77777777" w:rsidTr="00404677">
        <w:trPr>
          <w:trHeight w:val="890"/>
        </w:trPr>
        <w:tc>
          <w:tcPr>
            <w:tcW w:w="4788" w:type="dxa"/>
          </w:tcPr>
          <w:p w14:paraId="02DEE21F"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 as a percentage of its covered-employee payroll</w:t>
            </w:r>
            <w:r w:rsidR="00404677">
              <w:rPr>
                <w:rFonts w:ascii="Arial" w:hAnsi="Arial" w:cs="Arial"/>
                <w:color w:val="252525"/>
              </w:rPr>
              <w:t xml:space="preserve"> </w:t>
            </w:r>
          </w:p>
        </w:tc>
        <w:tc>
          <w:tcPr>
            <w:tcW w:w="4050" w:type="dxa"/>
            <w:vAlign w:val="center"/>
          </w:tcPr>
          <w:p w14:paraId="3B956B3F"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6E401B44"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019D039E" w14:textId="77777777" w:rsidTr="00404677">
        <w:tc>
          <w:tcPr>
            <w:tcW w:w="4788" w:type="dxa"/>
          </w:tcPr>
          <w:p w14:paraId="6926454F"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the total </w:t>
            </w:r>
            <w:r w:rsidR="005557E2">
              <w:rPr>
                <w:rFonts w:ascii="Arial" w:hAnsi="Arial" w:cs="Arial"/>
                <w:color w:val="252525"/>
              </w:rPr>
              <w:t>OPEB</w:t>
            </w:r>
            <w:r>
              <w:rPr>
                <w:rFonts w:ascii="Arial" w:hAnsi="Arial" w:cs="Arial"/>
                <w:color w:val="252525"/>
              </w:rPr>
              <w:t xml:space="preserve"> liability</w:t>
            </w:r>
            <w:r w:rsidR="000F74EB">
              <w:rPr>
                <w:rFonts w:ascii="Arial" w:hAnsi="Arial" w:cs="Arial"/>
                <w:color w:val="252525"/>
              </w:rPr>
              <w:t xml:space="preserve"> </w:t>
            </w:r>
          </w:p>
        </w:tc>
        <w:tc>
          <w:tcPr>
            <w:tcW w:w="4050" w:type="dxa"/>
            <w:vAlign w:val="center"/>
          </w:tcPr>
          <w:p w14:paraId="7C3DE187"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6D020595" w14:textId="77777777"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 xml:space="preserve">Schedule of Changes in Net </w:t>
            </w:r>
            <w:r w:rsidR="005557E2">
              <w:rPr>
                <w:rFonts w:ascii="Arial" w:hAnsi="Arial" w:cs="Arial"/>
                <w:color w:val="FF0000"/>
              </w:rPr>
              <w:t>OPEB</w:t>
            </w:r>
            <w:r w:rsidR="0022661E">
              <w:rPr>
                <w:rFonts w:ascii="Arial" w:hAnsi="Arial" w:cs="Arial"/>
                <w:color w:val="FF0000"/>
              </w:rPr>
              <w:t xml:space="preserve"> Liability and Related Ratio Current Period – Plan Fiduciary Net Position as a Percentage</w:t>
            </w:r>
          </w:p>
        </w:tc>
      </w:tr>
    </w:tbl>
    <w:p w14:paraId="7FA079D2"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4A6E5AAF" w14:textId="77777777"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r w:rsidR="00163A66">
        <w:rPr>
          <w:rFonts w:ascii="Arial" w:hAnsi="Arial" w:cs="Arial"/>
          <w:color w:val="252525"/>
        </w:rPr>
        <w:t xml:space="preserve">. </w:t>
      </w:r>
    </w:p>
    <w:p w14:paraId="0699D873"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57116454"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5142DF54"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0D7E7A2D" w14:textId="77777777" w:rsidR="005557E2" w:rsidRDefault="005557E2" w:rsidP="00855ADA">
      <w:pPr>
        <w:widowControl w:val="0"/>
        <w:suppressAutoHyphens/>
        <w:autoSpaceDE w:val="0"/>
        <w:autoSpaceDN w:val="0"/>
        <w:adjustRightInd w:val="0"/>
        <w:spacing w:after="0" w:line="240" w:lineRule="auto"/>
        <w:rPr>
          <w:rFonts w:ascii="Arial" w:hAnsi="Arial" w:cs="Arial"/>
          <w:color w:val="252525"/>
        </w:rPr>
      </w:pPr>
    </w:p>
    <w:p w14:paraId="4821CFF6"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5433F25F"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67E616D4"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0106A793"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77575CBC"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6D8D8A30"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69FB3C69"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14:paraId="6649746A"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2B03F268"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14:paraId="517748D6"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14:paraId="1ACD064A" w14:textId="77777777" w:rsidTr="00855ADA">
        <w:tc>
          <w:tcPr>
            <w:tcW w:w="4788" w:type="dxa"/>
          </w:tcPr>
          <w:p w14:paraId="68321767"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64B8A634" w14:textId="481F4694" w:rsidR="00855ADA" w:rsidRDefault="001272E5"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214C5A">
              <w:rPr>
                <w:rFonts w:ascii="Arial" w:hAnsi="Arial" w:cs="Arial"/>
                <w:color w:val="252525"/>
              </w:rPr>
              <w:t>2</w:t>
            </w:r>
            <w:r w:rsidR="004B3743">
              <w:rPr>
                <w:rFonts w:ascii="Arial" w:hAnsi="Arial" w:cs="Arial"/>
                <w:color w:val="252525"/>
              </w:rPr>
              <w:t>5</w:t>
            </w:r>
          </w:p>
        </w:tc>
      </w:tr>
      <w:tr w:rsidR="00855ADA" w14:paraId="762B49AC" w14:textId="77777777" w:rsidTr="00404677">
        <w:trPr>
          <w:trHeight w:val="440"/>
        </w:trPr>
        <w:tc>
          <w:tcPr>
            <w:tcW w:w="4788" w:type="dxa"/>
          </w:tcPr>
          <w:p w14:paraId="4676FFDA"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5E422629"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2ABED62D"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02BFC707" w14:textId="77777777" w:rsidTr="00404677">
        <w:trPr>
          <w:trHeight w:val="620"/>
        </w:trPr>
        <w:tc>
          <w:tcPr>
            <w:tcW w:w="4788" w:type="dxa"/>
          </w:tcPr>
          <w:p w14:paraId="75B636B4"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6A5D94E5"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2325F8A0"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79080BBB" w14:textId="77777777" w:rsidTr="00404677">
        <w:trPr>
          <w:trHeight w:val="404"/>
        </w:trPr>
        <w:tc>
          <w:tcPr>
            <w:tcW w:w="4788" w:type="dxa"/>
          </w:tcPr>
          <w:p w14:paraId="1243142A"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326940B7"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0AE47278" w14:textId="77777777"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14:paraId="717144B6" w14:textId="77777777" w:rsidTr="00404677">
        <w:trPr>
          <w:trHeight w:val="440"/>
        </w:trPr>
        <w:tc>
          <w:tcPr>
            <w:tcW w:w="4788" w:type="dxa"/>
          </w:tcPr>
          <w:p w14:paraId="44B6F03B"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392AE578"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3DB204DC"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55F3F0BB" w14:textId="77777777" w:rsidTr="00404677">
        <w:tc>
          <w:tcPr>
            <w:tcW w:w="4788" w:type="dxa"/>
          </w:tcPr>
          <w:p w14:paraId="2165DD53"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5BE87F82"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01708D93" w14:textId="77777777"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14:paraId="0A6715D9"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2FBDD197" w14:textId="77777777" w:rsidR="007B6790"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p>
    <w:p w14:paraId="201E6AB2" w14:textId="77777777" w:rsidR="005557E2" w:rsidRPr="00231F49" w:rsidRDefault="005557E2" w:rsidP="00231F49">
      <w:pPr>
        <w:widowControl w:val="0"/>
        <w:suppressAutoHyphens/>
        <w:autoSpaceDE w:val="0"/>
        <w:autoSpaceDN w:val="0"/>
        <w:adjustRightInd w:val="0"/>
        <w:spacing w:after="0" w:line="240" w:lineRule="auto"/>
        <w:rPr>
          <w:rFonts w:ascii="Arial" w:hAnsi="Arial" w:cs="Arial"/>
          <w:color w:val="252525"/>
        </w:rPr>
      </w:pPr>
    </w:p>
    <w:p w14:paraId="49EFE42A"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1310ED43" w14:textId="1A8E13B5"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214C5A">
        <w:rPr>
          <w:rFonts w:ascii="Arial" w:hAnsi="Arial" w:cs="Arial"/>
          <w:b/>
          <w:bCs/>
          <w:color w:val="252525"/>
          <w:sz w:val="28"/>
          <w:szCs w:val="28"/>
        </w:rPr>
        <w:t>2</w:t>
      </w:r>
      <w:r w:rsidR="004B3743">
        <w:rPr>
          <w:rFonts w:ascii="Arial" w:hAnsi="Arial" w:cs="Arial"/>
          <w:b/>
          <w:bCs/>
          <w:color w:val="252525"/>
          <w:sz w:val="28"/>
          <w:szCs w:val="28"/>
        </w:rPr>
        <w:t>5</w:t>
      </w:r>
    </w:p>
    <w:p w14:paraId="0B6ADA31"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1D413BC8"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6A9F210D"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75C3CECE" w14:textId="77777777"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14:paraId="73E1A1EE"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Beginning January 1, 2020, members first enrolled in the NDPERS Main System and the</w:t>
      </w:r>
    </w:p>
    <w:p w14:paraId="320E1349"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Defined Contribution Plan on or after that date will not be eligible to participate in RHIC.</w:t>
      </w:r>
    </w:p>
    <w:p w14:paraId="610699AE"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Therefore, RHIC will become for the most part a closed plan. There have been no other</w:t>
      </w:r>
    </w:p>
    <w:p w14:paraId="554290F6" w14:textId="4FC614D3" w:rsidR="002564E7" w:rsidRPr="009348EB" w:rsidRDefault="00EE45ED" w:rsidP="00EE45ED">
      <w:pPr>
        <w:widowControl w:val="0"/>
        <w:suppressAutoHyphens/>
        <w:autoSpaceDE w:val="0"/>
        <w:autoSpaceDN w:val="0"/>
        <w:adjustRightInd w:val="0"/>
        <w:spacing w:after="0" w:line="240" w:lineRule="auto"/>
        <w:rPr>
          <w:rFonts w:ascii="Arial" w:hAnsi="Arial" w:cs="Arial"/>
          <w:iCs/>
          <w:color w:val="A6A6A6" w:themeColor="background1" w:themeShade="A6"/>
        </w:rPr>
      </w:pPr>
      <w:r>
        <w:rPr>
          <w:rFonts w:ascii="ArialMT" w:hAnsi="ArialMT" w:cs="ArialMT"/>
        </w:rPr>
        <w:t>changes in plan provisions since the previous actuarial valuation as of July 1, 20</w:t>
      </w:r>
      <w:r w:rsidR="00E8184C">
        <w:rPr>
          <w:rFonts w:ascii="ArialMT" w:hAnsi="ArialMT" w:cs="ArialMT"/>
        </w:rPr>
        <w:t>2</w:t>
      </w:r>
      <w:r w:rsidR="004B3743">
        <w:rPr>
          <w:rFonts w:ascii="ArialMT" w:hAnsi="ArialMT" w:cs="ArialMT"/>
        </w:rPr>
        <w:t>3</w:t>
      </w:r>
      <w:r>
        <w:rPr>
          <w:rFonts w:ascii="ArialMT" w:hAnsi="ArialMT" w:cs="ArialMT"/>
        </w:rPr>
        <w:t>.</w:t>
      </w:r>
    </w:p>
    <w:p w14:paraId="75C004A8"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627F9252"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531D4634" w14:textId="77777777"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14:paraId="4209A11B" w14:textId="607AB2C5" w:rsidR="00FF3390" w:rsidRDefault="00FF3390" w:rsidP="00FF3390">
      <w:pPr>
        <w:autoSpaceDE w:val="0"/>
        <w:autoSpaceDN w:val="0"/>
        <w:adjustRightInd w:val="0"/>
        <w:spacing w:after="0" w:line="240" w:lineRule="auto"/>
        <w:rPr>
          <w:rFonts w:ascii="ArialMT" w:hAnsi="ArialMT" w:cs="ArialMT"/>
        </w:rPr>
      </w:pPr>
      <w:r w:rsidRPr="001E2D0D">
        <w:rPr>
          <w:rFonts w:ascii="ArialMT" w:hAnsi="ArialMT" w:cs="ArialMT"/>
        </w:rPr>
        <w:t>All actuarial assumptions used in the actuarial valuation as of July 1, 202</w:t>
      </w:r>
      <w:r w:rsidR="004B3743">
        <w:rPr>
          <w:rFonts w:ascii="ArialMT" w:hAnsi="ArialMT" w:cs="ArialMT"/>
        </w:rPr>
        <w:t>4</w:t>
      </w:r>
      <w:r w:rsidRPr="001E2D0D">
        <w:rPr>
          <w:rFonts w:ascii="ArialMT" w:hAnsi="ArialMT" w:cs="ArialMT"/>
        </w:rPr>
        <w:t xml:space="preserve"> were based on an experience review for the period from July 1, 2014 to July 1, 2019, and were adopted for first use commencing with the actuarial valuation as of July 1, 2020. </w:t>
      </w:r>
      <w:r w:rsidRPr="003A1A97">
        <w:rPr>
          <w:rFonts w:ascii="ArialMT" w:hAnsi="ArialMT" w:cs="ArialMT"/>
        </w:rPr>
        <w:t xml:space="preserve">There have been no changes in </w:t>
      </w:r>
    </w:p>
    <w:p w14:paraId="06766B58" w14:textId="6A010DEE" w:rsidR="00FF3390" w:rsidRDefault="00FF3390" w:rsidP="00FF3390">
      <w:pPr>
        <w:autoSpaceDE w:val="0"/>
        <w:autoSpaceDN w:val="0"/>
        <w:adjustRightInd w:val="0"/>
        <w:spacing w:after="0" w:line="240" w:lineRule="auto"/>
        <w:rPr>
          <w:rFonts w:ascii="ArialMT" w:hAnsi="ArialMT" w:cs="ArialMT"/>
        </w:rPr>
      </w:pPr>
      <w:r w:rsidRPr="003A1A97">
        <w:rPr>
          <w:rFonts w:ascii="ArialMT" w:hAnsi="ArialMT" w:cs="ArialMT"/>
        </w:rPr>
        <w:t>actuarial assumptions since the previous actuarial valuation as of Ju</w:t>
      </w:r>
      <w:r>
        <w:rPr>
          <w:rFonts w:ascii="ArialMT" w:hAnsi="ArialMT" w:cs="ArialMT"/>
        </w:rPr>
        <w:t>ly</w:t>
      </w:r>
      <w:r w:rsidRPr="003A1A97">
        <w:rPr>
          <w:rFonts w:ascii="ArialMT" w:hAnsi="ArialMT" w:cs="ArialMT"/>
        </w:rPr>
        <w:t xml:space="preserve"> </w:t>
      </w:r>
      <w:r>
        <w:rPr>
          <w:rFonts w:ascii="ArialMT" w:hAnsi="ArialMT" w:cs="ArialMT"/>
        </w:rPr>
        <w:t>1</w:t>
      </w:r>
      <w:r w:rsidRPr="003A1A97">
        <w:rPr>
          <w:rFonts w:ascii="ArialMT" w:hAnsi="ArialMT" w:cs="ArialMT"/>
        </w:rPr>
        <w:t>, 202</w:t>
      </w:r>
      <w:r w:rsidR="004B3743">
        <w:rPr>
          <w:rFonts w:ascii="ArialMT" w:hAnsi="ArialMT" w:cs="ArialMT"/>
        </w:rPr>
        <w:t>3</w:t>
      </w:r>
      <w:r w:rsidRPr="003A1A97">
        <w:rPr>
          <w:rFonts w:ascii="ArialMT" w:hAnsi="ArialMT" w:cs="ArialMT"/>
        </w:rPr>
        <w:t>.</w:t>
      </w:r>
    </w:p>
    <w:p w14:paraId="71FF2963" w14:textId="6E677F70" w:rsidR="00EE45ED" w:rsidRDefault="00EE45ED" w:rsidP="00EE45ED">
      <w:pPr>
        <w:autoSpaceDE w:val="0"/>
        <w:autoSpaceDN w:val="0"/>
        <w:adjustRightInd w:val="0"/>
        <w:spacing w:after="0" w:line="240" w:lineRule="auto"/>
        <w:rPr>
          <w:rFonts w:ascii="ArialMT" w:hAnsi="ArialMT" w:cs="ArialMT"/>
        </w:rPr>
      </w:pPr>
    </w:p>
    <w:p w14:paraId="64E3BC5D" w14:textId="77777777"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0FBE304D" w14:textId="77777777"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B54C20">
      <w:headerReference w:type="default" r:id="rId8"/>
      <w:footerReference w:type="default" r:id="rId9"/>
      <w:pgSz w:w="12240" w:h="15840"/>
      <w:pgMar w:top="432" w:right="1440" w:bottom="1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84D4" w14:textId="77777777" w:rsidR="003207EB" w:rsidRDefault="003207EB">
      <w:pPr>
        <w:spacing w:after="0" w:line="240" w:lineRule="auto"/>
      </w:pPr>
      <w:r>
        <w:separator/>
      </w:r>
    </w:p>
  </w:endnote>
  <w:endnote w:type="continuationSeparator" w:id="0">
    <w:p w14:paraId="1F00CC28" w14:textId="77777777"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760"/>
      <w:docPartObj>
        <w:docPartGallery w:val="Page Numbers (Bottom of Page)"/>
        <w:docPartUnique/>
      </w:docPartObj>
    </w:sdtPr>
    <w:sdtEndPr>
      <w:rPr>
        <w:noProof/>
      </w:rPr>
    </w:sdtEndPr>
    <w:sdtContent>
      <w:p w14:paraId="6D98A82A" w14:textId="77777777" w:rsidR="003207EB" w:rsidRDefault="003207EB">
        <w:pPr>
          <w:pStyle w:val="Footer"/>
          <w:jc w:val="right"/>
        </w:pPr>
        <w:r>
          <w:fldChar w:fldCharType="begin"/>
        </w:r>
        <w:r>
          <w:instrText xml:space="preserve"> PAGE   \* MERGEFORMAT </w:instrText>
        </w:r>
        <w:r>
          <w:fldChar w:fldCharType="separate"/>
        </w:r>
        <w:r w:rsidR="001272E5">
          <w:rPr>
            <w:noProof/>
          </w:rPr>
          <w:t>4</w:t>
        </w:r>
        <w:r>
          <w:rPr>
            <w:noProof/>
          </w:rPr>
          <w:fldChar w:fldCharType="end"/>
        </w:r>
      </w:p>
    </w:sdtContent>
  </w:sdt>
  <w:p w14:paraId="14783232" w14:textId="77777777"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BEC3" w14:textId="77777777" w:rsidR="003207EB" w:rsidRDefault="003207EB">
      <w:pPr>
        <w:spacing w:after="0" w:line="240" w:lineRule="auto"/>
      </w:pPr>
      <w:r>
        <w:separator/>
      </w:r>
    </w:p>
  </w:footnote>
  <w:footnote w:type="continuationSeparator" w:id="0">
    <w:p w14:paraId="0EC82FEA" w14:textId="77777777"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sz w:val="24"/>
        <w:szCs w:val="24"/>
      </w:rPr>
      <w:id w:val="-1246332608"/>
      <w:docPartObj>
        <w:docPartGallery w:val="Watermarks"/>
        <w:docPartUnique/>
      </w:docPartObj>
    </w:sdtPr>
    <w:sdtEndPr/>
    <w:sdtContent>
      <w:p w14:paraId="5E4E3D0C" w14:textId="77777777" w:rsidR="003207EB" w:rsidRDefault="004B3743">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45E85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808BE1B"/>
    <w:multiLevelType w:val="singleLevel"/>
    <w:tmpl w:val="AB68C1D6"/>
    <w:lvl w:ilvl="0">
      <w:numFmt w:val="decimal"/>
      <w:lvlText w:val="•"/>
      <w:lvlJc w:val="left"/>
    </w:lvl>
  </w:abstractNum>
  <w:abstractNum w:abstractNumId="63" w15:restartNumberingAfterBreak="0">
    <w:nsid w:val="59B4D971"/>
    <w:multiLevelType w:val="singleLevel"/>
    <w:tmpl w:val="DA62EF7A"/>
    <w:lvl w:ilvl="0">
      <w:numFmt w:val="decimal"/>
      <w:lvlText w:val="•"/>
      <w:lvlJc w:val="left"/>
    </w:lvl>
  </w:abstractNum>
  <w:abstractNum w:abstractNumId="64" w15:restartNumberingAfterBreak="0">
    <w:nsid w:val="5B3273FC"/>
    <w:multiLevelType w:val="singleLevel"/>
    <w:tmpl w:val="10363BBD"/>
    <w:lvl w:ilvl="0">
      <w:numFmt w:val="decimal"/>
      <w:lvlText w:val="•"/>
      <w:lvlJc w:val="left"/>
    </w:lvl>
  </w:abstractNum>
  <w:abstractNum w:abstractNumId="65" w15:restartNumberingAfterBreak="0">
    <w:nsid w:val="5D6BDE1E"/>
    <w:multiLevelType w:val="singleLevel"/>
    <w:tmpl w:val="2741F90F"/>
    <w:lvl w:ilvl="0">
      <w:numFmt w:val="decimal"/>
      <w:lvlText w:val=" "/>
      <w:lvlJc w:val="left"/>
    </w:lvl>
  </w:abstractNum>
  <w:abstractNum w:abstractNumId="66" w15:restartNumberingAfterBreak="0">
    <w:nsid w:val="5D9DCEB4"/>
    <w:multiLevelType w:val="singleLevel"/>
    <w:tmpl w:val="D3F5DEB0"/>
    <w:lvl w:ilvl="0">
      <w:numFmt w:val="decimal"/>
      <w:lvlText w:val=" "/>
      <w:lvlJc w:val="left"/>
    </w:lvl>
  </w:abstractNum>
  <w:abstractNum w:abstractNumId="67" w15:restartNumberingAfterBreak="0">
    <w:nsid w:val="5E61A8F7"/>
    <w:multiLevelType w:val="singleLevel"/>
    <w:tmpl w:val="7EF5FF78"/>
    <w:lvl w:ilvl="0">
      <w:numFmt w:val="decimal"/>
      <w:lvlText w:val="•"/>
      <w:lvlJc w:val="left"/>
    </w:lvl>
  </w:abstractNum>
  <w:abstractNum w:abstractNumId="68" w15:restartNumberingAfterBreak="0">
    <w:nsid w:val="5F760D46"/>
    <w:multiLevelType w:val="singleLevel"/>
    <w:tmpl w:val="4F48C96C"/>
    <w:lvl w:ilvl="0">
      <w:numFmt w:val="decimal"/>
      <w:lvlText w:val=" "/>
      <w:lvlJc w:val="left"/>
    </w:lvl>
  </w:abstractNum>
  <w:abstractNum w:abstractNumId="69" w15:restartNumberingAfterBreak="0">
    <w:nsid w:val="613CB008"/>
    <w:multiLevelType w:val="singleLevel"/>
    <w:tmpl w:val="9BDE3009"/>
    <w:lvl w:ilvl="0">
      <w:numFmt w:val="decimal"/>
      <w:lvlText w:val=" "/>
      <w:lvlJc w:val="left"/>
    </w:lvl>
  </w:abstractNum>
  <w:abstractNum w:abstractNumId="70" w15:restartNumberingAfterBreak="0">
    <w:nsid w:val="64EF0A98"/>
    <w:multiLevelType w:val="singleLevel"/>
    <w:tmpl w:val="D809AEC3"/>
    <w:lvl w:ilvl="0">
      <w:numFmt w:val="decimal"/>
      <w:lvlText w:val="•"/>
      <w:lvlJc w:val="left"/>
    </w:lvl>
  </w:abstractNum>
  <w:abstractNum w:abstractNumId="71"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E6357B"/>
    <w:multiLevelType w:val="singleLevel"/>
    <w:tmpl w:val="DB237B1D"/>
    <w:lvl w:ilvl="0">
      <w:numFmt w:val="decimal"/>
      <w:lvlText w:val="•"/>
      <w:lvlJc w:val="left"/>
    </w:lvl>
  </w:abstractNum>
  <w:abstractNum w:abstractNumId="73" w15:restartNumberingAfterBreak="0">
    <w:nsid w:val="692B33CC"/>
    <w:multiLevelType w:val="singleLevel"/>
    <w:tmpl w:val="7E6AA8C6"/>
    <w:lvl w:ilvl="0">
      <w:numFmt w:val="decimal"/>
      <w:lvlText w:val="•"/>
      <w:lvlJc w:val="left"/>
    </w:lvl>
  </w:abstractNum>
  <w:abstractNum w:abstractNumId="74" w15:restartNumberingAfterBreak="0">
    <w:nsid w:val="693A6C42"/>
    <w:multiLevelType w:val="singleLevel"/>
    <w:tmpl w:val="DABB4A42"/>
    <w:lvl w:ilvl="0">
      <w:numFmt w:val="decimal"/>
      <w:lvlText w:val=" "/>
      <w:lvlJc w:val="left"/>
    </w:lvl>
  </w:abstractNum>
  <w:abstractNum w:abstractNumId="75" w15:restartNumberingAfterBreak="0">
    <w:nsid w:val="6AC65CA3"/>
    <w:multiLevelType w:val="singleLevel"/>
    <w:tmpl w:val="512539AB"/>
    <w:lvl w:ilvl="0">
      <w:numFmt w:val="decimal"/>
      <w:lvlText w:val=" "/>
      <w:lvlJc w:val="left"/>
    </w:lvl>
  </w:abstractNum>
  <w:abstractNum w:abstractNumId="76" w15:restartNumberingAfterBreak="0">
    <w:nsid w:val="6B2BE3F9"/>
    <w:multiLevelType w:val="singleLevel"/>
    <w:tmpl w:val="7447DB4C"/>
    <w:lvl w:ilvl="0">
      <w:numFmt w:val="decimal"/>
      <w:lvlText w:val="•"/>
      <w:lvlJc w:val="left"/>
    </w:lvl>
  </w:abstractNum>
  <w:abstractNum w:abstractNumId="77" w15:restartNumberingAfterBreak="0">
    <w:nsid w:val="6C9FF7F2"/>
    <w:multiLevelType w:val="singleLevel"/>
    <w:tmpl w:val="88B0ECFD"/>
    <w:lvl w:ilvl="0">
      <w:numFmt w:val="decimal"/>
      <w:lvlText w:val=" "/>
      <w:lvlJc w:val="left"/>
    </w:lvl>
  </w:abstractNum>
  <w:abstractNum w:abstractNumId="78" w15:restartNumberingAfterBreak="0">
    <w:nsid w:val="6F129A1B"/>
    <w:multiLevelType w:val="singleLevel"/>
    <w:tmpl w:val="89FA9CE1"/>
    <w:lvl w:ilvl="0">
      <w:numFmt w:val="decimal"/>
      <w:lvlText w:val="•"/>
      <w:lvlJc w:val="left"/>
    </w:lvl>
  </w:abstractNum>
  <w:abstractNum w:abstractNumId="79" w15:restartNumberingAfterBreak="0">
    <w:nsid w:val="70511635"/>
    <w:multiLevelType w:val="singleLevel"/>
    <w:tmpl w:val="36EB7A82"/>
    <w:lvl w:ilvl="0">
      <w:numFmt w:val="decimal"/>
      <w:lvlText w:val="•"/>
      <w:lvlJc w:val="left"/>
    </w:lvl>
  </w:abstractNum>
  <w:abstractNum w:abstractNumId="80" w15:restartNumberingAfterBreak="0">
    <w:nsid w:val="72A90DB4"/>
    <w:multiLevelType w:val="singleLevel"/>
    <w:tmpl w:val="3CC8A2C7"/>
    <w:lvl w:ilvl="0">
      <w:numFmt w:val="decimal"/>
      <w:lvlText w:val="•"/>
      <w:lvlJc w:val="left"/>
    </w:lvl>
  </w:abstractNum>
  <w:abstractNum w:abstractNumId="81" w15:restartNumberingAfterBreak="0">
    <w:nsid w:val="7993B6B2"/>
    <w:multiLevelType w:val="singleLevel"/>
    <w:tmpl w:val="17D58C35"/>
    <w:lvl w:ilvl="0">
      <w:numFmt w:val="decimal"/>
      <w:lvlText w:val="•"/>
      <w:lvlJc w:val="left"/>
    </w:lvl>
  </w:abstractNum>
  <w:abstractNum w:abstractNumId="82" w15:restartNumberingAfterBreak="0">
    <w:nsid w:val="7AF563B6"/>
    <w:multiLevelType w:val="singleLevel"/>
    <w:tmpl w:val="AF158AC9"/>
    <w:lvl w:ilvl="0">
      <w:numFmt w:val="decimal"/>
      <w:lvlText w:val=" "/>
      <w:lvlJc w:val="left"/>
    </w:lvl>
  </w:abstractNum>
  <w:abstractNum w:abstractNumId="83" w15:restartNumberingAfterBreak="0">
    <w:nsid w:val="7EB9154E"/>
    <w:multiLevelType w:val="singleLevel"/>
    <w:tmpl w:val="B342567C"/>
    <w:lvl w:ilvl="0">
      <w:numFmt w:val="decimal"/>
      <w:lvlText w:val=" "/>
      <w:lvlJc w:val="left"/>
    </w:lvl>
  </w:abstractNum>
  <w:abstractNum w:abstractNumId="84" w15:restartNumberingAfterBreak="0">
    <w:nsid w:val="7EE65810"/>
    <w:multiLevelType w:val="singleLevel"/>
    <w:tmpl w:val="5B66065C"/>
    <w:lvl w:ilvl="0">
      <w:numFmt w:val="decimal"/>
      <w:lvlText w:val=" "/>
      <w:lvlJc w:val="left"/>
    </w:lvl>
  </w:abstractNum>
  <w:num w:numId="1" w16cid:durableId="288634139">
    <w:abstractNumId w:val="76"/>
  </w:num>
  <w:num w:numId="2" w16cid:durableId="1557231650">
    <w:abstractNumId w:val="5"/>
  </w:num>
  <w:num w:numId="3" w16cid:durableId="1527211807">
    <w:abstractNumId w:val="78"/>
  </w:num>
  <w:num w:numId="4" w16cid:durableId="1161315794">
    <w:abstractNumId w:val="47"/>
  </w:num>
  <w:num w:numId="5" w16cid:durableId="735592065">
    <w:abstractNumId w:val="79"/>
  </w:num>
  <w:num w:numId="6" w16cid:durableId="993224160">
    <w:abstractNumId w:val="43"/>
  </w:num>
  <w:num w:numId="7" w16cid:durableId="1514151577">
    <w:abstractNumId w:val="67"/>
  </w:num>
  <w:num w:numId="8" w16cid:durableId="1468274975">
    <w:abstractNumId w:val="61"/>
  </w:num>
  <w:num w:numId="9" w16cid:durableId="1836843076">
    <w:abstractNumId w:val="11"/>
  </w:num>
  <w:num w:numId="10" w16cid:durableId="39016246">
    <w:abstractNumId w:val="82"/>
  </w:num>
  <w:num w:numId="11" w16cid:durableId="726690243">
    <w:abstractNumId w:val="17"/>
  </w:num>
  <w:num w:numId="12" w16cid:durableId="1184325787">
    <w:abstractNumId w:val="29"/>
  </w:num>
  <w:num w:numId="13" w16cid:durableId="129514993">
    <w:abstractNumId w:val="80"/>
  </w:num>
  <w:num w:numId="14" w16cid:durableId="1111702723">
    <w:abstractNumId w:val="31"/>
  </w:num>
  <w:num w:numId="15" w16cid:durableId="1170563116">
    <w:abstractNumId w:val="81"/>
  </w:num>
  <w:num w:numId="16" w16cid:durableId="684599309">
    <w:abstractNumId w:val="44"/>
  </w:num>
  <w:num w:numId="17" w16cid:durableId="726684613">
    <w:abstractNumId w:val="14"/>
  </w:num>
  <w:num w:numId="18" w16cid:durableId="206067540">
    <w:abstractNumId w:val="6"/>
  </w:num>
  <w:num w:numId="19" w16cid:durableId="211040610">
    <w:abstractNumId w:val="55"/>
  </w:num>
  <w:num w:numId="20" w16cid:durableId="1260527975">
    <w:abstractNumId w:val="16"/>
  </w:num>
  <w:num w:numId="21" w16cid:durableId="1858425045">
    <w:abstractNumId w:val="34"/>
  </w:num>
  <w:num w:numId="22" w16cid:durableId="815730270">
    <w:abstractNumId w:val="48"/>
  </w:num>
  <w:num w:numId="23" w16cid:durableId="1208034156">
    <w:abstractNumId w:val="10"/>
  </w:num>
  <w:num w:numId="24" w16cid:durableId="243998101">
    <w:abstractNumId w:val="22"/>
  </w:num>
  <w:num w:numId="25" w16cid:durableId="1610431566">
    <w:abstractNumId w:val="57"/>
  </w:num>
  <w:num w:numId="26" w16cid:durableId="1762026558">
    <w:abstractNumId w:val="23"/>
  </w:num>
  <w:num w:numId="27" w16cid:durableId="1674142786">
    <w:abstractNumId w:val="13"/>
  </w:num>
  <w:num w:numId="28" w16cid:durableId="1276474303">
    <w:abstractNumId w:val="56"/>
  </w:num>
  <w:num w:numId="29" w16cid:durableId="124399752">
    <w:abstractNumId w:val="52"/>
  </w:num>
  <w:num w:numId="30" w16cid:durableId="1539312548">
    <w:abstractNumId w:val="0"/>
  </w:num>
  <w:num w:numId="31" w16cid:durableId="960693568">
    <w:abstractNumId w:val="1"/>
  </w:num>
  <w:num w:numId="32" w16cid:durableId="872840717">
    <w:abstractNumId w:val="49"/>
  </w:num>
  <w:num w:numId="33" w16cid:durableId="1088310182">
    <w:abstractNumId w:val="4"/>
  </w:num>
  <w:num w:numId="34" w16cid:durableId="568031270">
    <w:abstractNumId w:val="50"/>
  </w:num>
  <w:num w:numId="35" w16cid:durableId="2131898043">
    <w:abstractNumId w:val="46"/>
  </w:num>
  <w:num w:numId="36" w16cid:durableId="2015380724">
    <w:abstractNumId w:val="2"/>
  </w:num>
  <w:num w:numId="37" w16cid:durableId="990984544">
    <w:abstractNumId w:val="32"/>
  </w:num>
  <w:num w:numId="38" w16cid:durableId="1858470056">
    <w:abstractNumId w:val="53"/>
  </w:num>
  <w:num w:numId="39" w16cid:durableId="2005237019">
    <w:abstractNumId w:val="54"/>
  </w:num>
  <w:num w:numId="40" w16cid:durableId="426586966">
    <w:abstractNumId w:val="28"/>
  </w:num>
  <w:num w:numId="41" w16cid:durableId="1526669455">
    <w:abstractNumId w:val="21"/>
  </w:num>
  <w:num w:numId="42" w16cid:durableId="1441030423">
    <w:abstractNumId w:val="26"/>
  </w:num>
  <w:num w:numId="43" w16cid:durableId="930704768">
    <w:abstractNumId w:val="8"/>
  </w:num>
  <w:num w:numId="44" w16cid:durableId="970669405">
    <w:abstractNumId w:val="18"/>
  </w:num>
  <w:num w:numId="45" w16cid:durableId="472479718">
    <w:abstractNumId w:val="63"/>
  </w:num>
  <w:num w:numId="46" w16cid:durableId="1841970706">
    <w:abstractNumId w:val="65"/>
  </w:num>
  <w:num w:numId="47" w16cid:durableId="2115981739">
    <w:abstractNumId w:val="7"/>
  </w:num>
  <w:num w:numId="48" w16cid:durableId="355499544">
    <w:abstractNumId w:val="68"/>
  </w:num>
  <w:num w:numId="49" w16cid:durableId="180556497">
    <w:abstractNumId w:val="59"/>
  </w:num>
  <w:num w:numId="50" w16cid:durableId="1590698839">
    <w:abstractNumId w:val="9"/>
  </w:num>
  <w:num w:numId="51" w16cid:durableId="2093694928">
    <w:abstractNumId w:val="25"/>
  </w:num>
  <w:num w:numId="52" w16cid:durableId="319116429">
    <w:abstractNumId w:val="74"/>
  </w:num>
  <w:num w:numId="53" w16cid:durableId="1844130031">
    <w:abstractNumId w:val="20"/>
  </w:num>
  <w:num w:numId="54" w16cid:durableId="2034261029">
    <w:abstractNumId w:val="77"/>
  </w:num>
  <w:num w:numId="55" w16cid:durableId="664744058">
    <w:abstractNumId w:val="72"/>
  </w:num>
  <w:num w:numId="56" w16cid:durableId="331956030">
    <w:abstractNumId w:val="24"/>
  </w:num>
  <w:num w:numId="57" w16cid:durableId="1050110245">
    <w:abstractNumId w:val="73"/>
  </w:num>
  <w:num w:numId="58" w16cid:durableId="1483887539">
    <w:abstractNumId w:val="69"/>
  </w:num>
  <w:num w:numId="59" w16cid:durableId="206260567">
    <w:abstractNumId w:val="62"/>
  </w:num>
  <w:num w:numId="60" w16cid:durableId="1381248024">
    <w:abstractNumId w:val="19"/>
  </w:num>
  <w:num w:numId="61" w16cid:durableId="351492144">
    <w:abstractNumId w:val="41"/>
  </w:num>
  <w:num w:numId="62" w16cid:durableId="1102990922">
    <w:abstractNumId w:val="40"/>
  </w:num>
  <w:num w:numId="63" w16cid:durableId="400522168">
    <w:abstractNumId w:val="60"/>
  </w:num>
  <w:num w:numId="64" w16cid:durableId="2032534115">
    <w:abstractNumId w:val="3"/>
  </w:num>
  <w:num w:numId="65" w16cid:durableId="1175263611">
    <w:abstractNumId w:val="38"/>
  </w:num>
  <w:num w:numId="66" w16cid:durableId="1871454103">
    <w:abstractNumId w:val="83"/>
  </w:num>
  <w:num w:numId="67" w16cid:durableId="1116362885">
    <w:abstractNumId w:val="64"/>
  </w:num>
  <w:num w:numId="68" w16cid:durableId="1407457652">
    <w:abstractNumId w:val="35"/>
  </w:num>
  <w:num w:numId="69" w16cid:durableId="725184864">
    <w:abstractNumId w:val="37"/>
  </w:num>
  <w:num w:numId="70" w16cid:durableId="279384363">
    <w:abstractNumId w:val="75"/>
  </w:num>
  <w:num w:numId="71" w16cid:durableId="759449670">
    <w:abstractNumId w:val="33"/>
  </w:num>
  <w:num w:numId="72" w16cid:durableId="1375108659">
    <w:abstractNumId w:val="51"/>
  </w:num>
  <w:num w:numId="73" w16cid:durableId="1686588072">
    <w:abstractNumId w:val="27"/>
  </w:num>
  <w:num w:numId="74" w16cid:durableId="640573778">
    <w:abstractNumId w:val="84"/>
  </w:num>
  <w:num w:numId="75" w16cid:durableId="1305624302">
    <w:abstractNumId w:val="30"/>
  </w:num>
  <w:num w:numId="76" w16cid:durableId="357896341">
    <w:abstractNumId w:val="12"/>
  </w:num>
  <w:num w:numId="77" w16cid:durableId="1172992474">
    <w:abstractNumId w:val="39"/>
  </w:num>
  <w:num w:numId="78" w16cid:durableId="819884284">
    <w:abstractNumId w:val="15"/>
  </w:num>
  <w:num w:numId="79" w16cid:durableId="43989198">
    <w:abstractNumId w:val="70"/>
  </w:num>
  <w:num w:numId="80" w16cid:durableId="2087333607">
    <w:abstractNumId w:val="66"/>
  </w:num>
  <w:num w:numId="81" w16cid:durableId="953485479">
    <w:abstractNumId w:val="36"/>
  </w:num>
  <w:num w:numId="82" w16cid:durableId="134493126">
    <w:abstractNumId w:val="71"/>
  </w:num>
  <w:num w:numId="83" w16cid:durableId="752820777">
    <w:abstractNumId w:val="42"/>
  </w:num>
  <w:num w:numId="84" w16cid:durableId="663124991">
    <w:abstractNumId w:val="45"/>
  </w:num>
  <w:num w:numId="85" w16cid:durableId="1002857826">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50942"/>
    <w:rsid w:val="00055FAA"/>
    <w:rsid w:val="00061CF7"/>
    <w:rsid w:val="00067FA6"/>
    <w:rsid w:val="00081D00"/>
    <w:rsid w:val="000C1916"/>
    <w:rsid w:val="000D15F2"/>
    <w:rsid w:val="000D1E61"/>
    <w:rsid w:val="000D3935"/>
    <w:rsid w:val="000D57CA"/>
    <w:rsid w:val="000D60A8"/>
    <w:rsid w:val="000F49B3"/>
    <w:rsid w:val="000F5647"/>
    <w:rsid w:val="000F74EB"/>
    <w:rsid w:val="0012351A"/>
    <w:rsid w:val="001272E5"/>
    <w:rsid w:val="00163A66"/>
    <w:rsid w:val="00191015"/>
    <w:rsid w:val="001A7F3B"/>
    <w:rsid w:val="001B2751"/>
    <w:rsid w:val="001C3013"/>
    <w:rsid w:val="001C326F"/>
    <w:rsid w:val="001E2E53"/>
    <w:rsid w:val="001F009F"/>
    <w:rsid w:val="001F03FE"/>
    <w:rsid w:val="001F3634"/>
    <w:rsid w:val="00206351"/>
    <w:rsid w:val="00210673"/>
    <w:rsid w:val="002120A9"/>
    <w:rsid w:val="00214C5A"/>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05021"/>
    <w:rsid w:val="00313046"/>
    <w:rsid w:val="00317F10"/>
    <w:rsid w:val="003207EB"/>
    <w:rsid w:val="003633D9"/>
    <w:rsid w:val="00364963"/>
    <w:rsid w:val="00391569"/>
    <w:rsid w:val="003A3063"/>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96531"/>
    <w:rsid w:val="004A5CC4"/>
    <w:rsid w:val="004B3743"/>
    <w:rsid w:val="004B7471"/>
    <w:rsid w:val="004C0E31"/>
    <w:rsid w:val="004D13DF"/>
    <w:rsid w:val="004D74BC"/>
    <w:rsid w:val="004E2E2E"/>
    <w:rsid w:val="00511189"/>
    <w:rsid w:val="0052638F"/>
    <w:rsid w:val="00526CA9"/>
    <w:rsid w:val="00537E6A"/>
    <w:rsid w:val="00540BCC"/>
    <w:rsid w:val="00546C0B"/>
    <w:rsid w:val="005470DA"/>
    <w:rsid w:val="005557E2"/>
    <w:rsid w:val="00562FCA"/>
    <w:rsid w:val="005712C9"/>
    <w:rsid w:val="00586DDD"/>
    <w:rsid w:val="00591F0B"/>
    <w:rsid w:val="00592D70"/>
    <w:rsid w:val="00596A60"/>
    <w:rsid w:val="005A3AE8"/>
    <w:rsid w:val="005A6736"/>
    <w:rsid w:val="005B2294"/>
    <w:rsid w:val="005B4B25"/>
    <w:rsid w:val="005B5BE6"/>
    <w:rsid w:val="005C25A1"/>
    <w:rsid w:val="005D4D1C"/>
    <w:rsid w:val="005D5AD2"/>
    <w:rsid w:val="005D755E"/>
    <w:rsid w:val="005E18CD"/>
    <w:rsid w:val="005F289A"/>
    <w:rsid w:val="006052EB"/>
    <w:rsid w:val="006548CF"/>
    <w:rsid w:val="00664689"/>
    <w:rsid w:val="00697CE9"/>
    <w:rsid w:val="006F5A37"/>
    <w:rsid w:val="00716AA9"/>
    <w:rsid w:val="007231D3"/>
    <w:rsid w:val="0072359B"/>
    <w:rsid w:val="00731026"/>
    <w:rsid w:val="00760C40"/>
    <w:rsid w:val="007B6790"/>
    <w:rsid w:val="007C0D90"/>
    <w:rsid w:val="007C1F1F"/>
    <w:rsid w:val="007E3950"/>
    <w:rsid w:val="007E695A"/>
    <w:rsid w:val="007E732C"/>
    <w:rsid w:val="00827BD3"/>
    <w:rsid w:val="00834450"/>
    <w:rsid w:val="00855ADA"/>
    <w:rsid w:val="0086353F"/>
    <w:rsid w:val="00864FB4"/>
    <w:rsid w:val="00875838"/>
    <w:rsid w:val="00884680"/>
    <w:rsid w:val="008C3CF1"/>
    <w:rsid w:val="008F070B"/>
    <w:rsid w:val="0091448D"/>
    <w:rsid w:val="00922F57"/>
    <w:rsid w:val="00926A6E"/>
    <w:rsid w:val="00931B3B"/>
    <w:rsid w:val="009348EB"/>
    <w:rsid w:val="00951F49"/>
    <w:rsid w:val="00955EE5"/>
    <w:rsid w:val="009575FE"/>
    <w:rsid w:val="00962914"/>
    <w:rsid w:val="00996962"/>
    <w:rsid w:val="009B0062"/>
    <w:rsid w:val="009C546D"/>
    <w:rsid w:val="009D0FA5"/>
    <w:rsid w:val="00A024EC"/>
    <w:rsid w:val="00A17859"/>
    <w:rsid w:val="00A27937"/>
    <w:rsid w:val="00A35739"/>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4C20"/>
    <w:rsid w:val="00B561D7"/>
    <w:rsid w:val="00B743E6"/>
    <w:rsid w:val="00B76508"/>
    <w:rsid w:val="00B81057"/>
    <w:rsid w:val="00B91BD9"/>
    <w:rsid w:val="00BA14FF"/>
    <w:rsid w:val="00BA1B8A"/>
    <w:rsid w:val="00BA5BF4"/>
    <w:rsid w:val="00BC4332"/>
    <w:rsid w:val="00BC4EB5"/>
    <w:rsid w:val="00BD164F"/>
    <w:rsid w:val="00BD719D"/>
    <w:rsid w:val="00BE20F5"/>
    <w:rsid w:val="00BE7CBB"/>
    <w:rsid w:val="00C14F99"/>
    <w:rsid w:val="00C20EF0"/>
    <w:rsid w:val="00C30D76"/>
    <w:rsid w:val="00C357F4"/>
    <w:rsid w:val="00C4408C"/>
    <w:rsid w:val="00C446A1"/>
    <w:rsid w:val="00C46259"/>
    <w:rsid w:val="00C6620A"/>
    <w:rsid w:val="00C6627C"/>
    <w:rsid w:val="00C76A57"/>
    <w:rsid w:val="00C81A1F"/>
    <w:rsid w:val="00C852E0"/>
    <w:rsid w:val="00C978BC"/>
    <w:rsid w:val="00CA1EA9"/>
    <w:rsid w:val="00CA65EF"/>
    <w:rsid w:val="00CC39C4"/>
    <w:rsid w:val="00CE1D36"/>
    <w:rsid w:val="00CE2835"/>
    <w:rsid w:val="00CF596C"/>
    <w:rsid w:val="00D02C15"/>
    <w:rsid w:val="00D21144"/>
    <w:rsid w:val="00D277D1"/>
    <w:rsid w:val="00D321DD"/>
    <w:rsid w:val="00D6323F"/>
    <w:rsid w:val="00D74C66"/>
    <w:rsid w:val="00D7576E"/>
    <w:rsid w:val="00D941ED"/>
    <w:rsid w:val="00DC62AD"/>
    <w:rsid w:val="00DD26C4"/>
    <w:rsid w:val="00DD4310"/>
    <w:rsid w:val="00DD56B1"/>
    <w:rsid w:val="00DE147D"/>
    <w:rsid w:val="00E27355"/>
    <w:rsid w:val="00E41292"/>
    <w:rsid w:val="00E665BF"/>
    <w:rsid w:val="00E8184C"/>
    <w:rsid w:val="00E8216D"/>
    <w:rsid w:val="00E83725"/>
    <w:rsid w:val="00EA71C5"/>
    <w:rsid w:val="00EB05EE"/>
    <w:rsid w:val="00ED4181"/>
    <w:rsid w:val="00EE45ED"/>
    <w:rsid w:val="00F029B9"/>
    <w:rsid w:val="00F0572D"/>
    <w:rsid w:val="00F11639"/>
    <w:rsid w:val="00F307E0"/>
    <w:rsid w:val="00F32EE5"/>
    <w:rsid w:val="00F55B1E"/>
    <w:rsid w:val="00F61E87"/>
    <w:rsid w:val="00FB0602"/>
    <w:rsid w:val="00FC7863"/>
    <w:rsid w:val="00FD2F7D"/>
    <w:rsid w:val="00FD41FC"/>
    <w:rsid w:val="00FD6591"/>
    <w:rsid w:val="00FF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384AE28"/>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1A3D-4974-4381-A8F0-5DDE92D3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Hohbein, Derrick L.</cp:lastModifiedBy>
  <cp:revision>3</cp:revision>
  <cp:lastPrinted>2015-03-07T17:05:00Z</cp:lastPrinted>
  <dcterms:created xsi:type="dcterms:W3CDTF">2025-02-03T18:39:00Z</dcterms:created>
  <dcterms:modified xsi:type="dcterms:W3CDTF">2025-02-03T18:45:00Z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822953200</vt:i4>
  </property>
  <property fmtid="{D5CDD505-2E9C-101B-9397-08002B2CF9AE}" pid="3" name="_NewReviewCycle">
    <vt:lpwstr/>
  </property>
  <property fmtid="{D5CDD505-2E9C-101B-9397-08002B2CF9AE}" pid="4" name="_EmailSubject">
    <vt:lpwstr>New Documents for the Website :)</vt:lpwstr>
  </property>
  <property fmtid="{D5CDD505-2E9C-101B-9397-08002B2CF9AE}" pid="5" name="_AuthorEmail">
    <vt:lpwstr>dhohbein@nd.gov</vt:lpwstr>
  </property>
  <property fmtid="{D5CDD505-2E9C-101B-9397-08002B2CF9AE}" pid="6" name="_AuthorEmailDisplayName">
    <vt:lpwstr>Hohbein, Derrick L.</vt:lpwstr>
  </property>
  <property fmtid="{D5CDD505-2E9C-101B-9397-08002B2CF9AE}" pid="7" name="_ReviewingToolsShownOnce">
    <vt:lpwstr/>
  </property>
</Properties>
</file>